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Cs/>
          <w:sz w:val="28"/>
        </w:rPr>
      </w:pPr>
    </w:p>
    <w:tbl>
      <w:tblPr>
        <w:tblStyle w:val="7"/>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pPr>
              <w:snapToGrid w:val="0"/>
              <w:jc w:val="center"/>
              <w:rPr>
                <w:rFonts w:ascii="Times New Roman" w:hAnsi="Times New Roman" w:eastAsia="楷体_GB2312" w:cs="Times New Roman"/>
              </w:rPr>
            </w:pPr>
            <w:r>
              <w:rPr>
                <w:rFonts w:hint="eastAsia" w:ascii="Times New Roman" w:hAnsi="Times New Roman" w:eastAsia="楷体_GB2312" w:cs="Times New Roman"/>
              </w:rPr>
              <w:t>2015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通过验收年份</w:t>
            </w:r>
          </w:p>
        </w:tc>
        <w:tc>
          <w:tcPr>
            <w:tcW w:w="1800" w:type="dxa"/>
            <w:vAlign w:val="center"/>
          </w:tcPr>
          <w:p>
            <w:pPr>
              <w:snapToGrid w:val="0"/>
              <w:jc w:val="center"/>
              <w:rPr>
                <w:rFonts w:ascii="Times New Roman" w:hAnsi="Times New Roman" w:eastAsia="楷体_GB2312" w:cs="Times New Roman"/>
              </w:rPr>
            </w:pPr>
          </w:p>
        </w:tc>
      </w:tr>
    </w:tbl>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黑体" w:cs="Times New Roman"/>
          <w:b/>
          <w:sz w:val="44"/>
        </w:rPr>
        <w:t>国家级实验教学示范中心年度报告</w:t>
      </w:r>
    </w:p>
    <w:p>
      <w:pPr>
        <w:jc w:val="center"/>
        <w:rPr>
          <w:rFonts w:ascii="Times New Roman" w:hAnsi="Times New Roman" w:eastAsia="楷体_GB2312" w:cs="Times New Roman"/>
          <w:sz w:val="28"/>
        </w:rPr>
      </w:pPr>
      <w:r>
        <w:rPr>
          <w:rFonts w:ascii="Times New Roman" w:hAnsi="Times New Roman" w:eastAsia="楷体_GB2312" w:cs="Times New Roman"/>
          <w:sz w:val="28"/>
        </w:rPr>
        <w:t>（20</w:t>
      </w:r>
      <w:r>
        <w:rPr>
          <w:rFonts w:hint="eastAsia" w:ascii="Times New Roman" w:hAnsi="Times New Roman" w:eastAsia="楷体_GB2312" w:cs="Times New Roman"/>
          <w:sz w:val="28"/>
        </w:rPr>
        <w:t>21</w:t>
      </w:r>
      <w:r>
        <w:rPr>
          <w:rFonts w:ascii="Times New Roman" w:hAnsi="Times New Roman" w:eastAsia="楷体_GB2312" w:cs="Times New Roman"/>
          <w:sz w:val="28"/>
        </w:rPr>
        <w:t>年1月</w:t>
      </w:r>
      <w:r>
        <w:rPr>
          <w:rFonts w:hint="eastAsia" w:ascii="Times New Roman" w:hAnsi="Times New Roman" w:eastAsia="楷体_GB2312" w:cs="Times New Roman"/>
          <w:sz w:val="28"/>
        </w:rPr>
        <w:t>1日</w:t>
      </w:r>
      <w:r>
        <w:rPr>
          <w:rFonts w:ascii="Times New Roman" w:hAnsi="Times New Roman" w:eastAsia="楷体_GB2312" w:cs="Times New Roman"/>
          <w:sz w:val="28"/>
        </w:rPr>
        <w:t>——20</w:t>
      </w:r>
      <w:r>
        <w:rPr>
          <w:rFonts w:hint="eastAsia" w:ascii="Times New Roman" w:hAnsi="Times New Roman" w:eastAsia="楷体_GB2312" w:cs="Times New Roman"/>
          <w:sz w:val="28"/>
        </w:rPr>
        <w:t>21</w:t>
      </w:r>
      <w:r>
        <w:rPr>
          <w:rFonts w:ascii="Times New Roman" w:hAnsi="Times New Roman" w:eastAsia="楷体_GB2312" w:cs="Times New Roman"/>
          <w:sz w:val="28"/>
        </w:rPr>
        <w:t>年12月</w:t>
      </w:r>
      <w:r>
        <w:rPr>
          <w:rFonts w:hint="eastAsia" w:ascii="Times New Roman" w:hAnsi="Times New Roman" w:eastAsia="楷体_GB2312" w:cs="Times New Roman"/>
          <w:sz w:val="28"/>
        </w:rPr>
        <w:t>31日</w:t>
      </w:r>
      <w:r>
        <w:rPr>
          <w:rFonts w:ascii="Times New Roman" w:hAnsi="Times New Roman" w:eastAsia="楷体_GB2312" w:cs="Times New Roman"/>
          <w:sz w:val="28"/>
        </w:rPr>
        <w:t>）</w:t>
      </w:r>
    </w:p>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b/>
          <w:sz w:val="28"/>
        </w:rPr>
      </w:pP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实验教学中心名称</w:t>
      </w:r>
      <w:r>
        <w:rPr>
          <w:rFonts w:ascii="Times New Roman" w:hAnsi="Times New Roman" w:eastAsia="楷体_GB2312" w:cs="Times New Roman"/>
          <w:b/>
          <w:sz w:val="28"/>
        </w:rPr>
        <w:t>：</w:t>
      </w:r>
      <w:r>
        <w:rPr>
          <w:rFonts w:hint="eastAsia" w:ascii="Times New Roman" w:hAnsi="Times New Roman" w:eastAsia="楷体_GB2312" w:cs="Times New Roman"/>
          <w:b/>
          <w:sz w:val="28"/>
        </w:rPr>
        <w:t>寒地作物栽培技术实验教学中心</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实验教学中心主任：于立河</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w:t>
      </w:r>
      <w:r>
        <w:rPr>
          <w:rFonts w:ascii="Times New Roman" w:hAnsi="Times New Roman" w:eastAsia="楷体_GB2312" w:cs="Times New Roman"/>
          <w:b/>
          <w:sz w:val="28"/>
        </w:rPr>
        <w:t>联系人/联系电话：</w:t>
      </w:r>
      <w:r>
        <w:rPr>
          <w:rFonts w:hint="eastAsia" w:ascii="Times New Roman" w:hAnsi="Times New Roman" w:eastAsia="楷体_GB2312" w:cs="Times New Roman"/>
          <w:b/>
          <w:sz w:val="28"/>
        </w:rPr>
        <w:t>郑雯 0459-6819172</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实验教学中心联系人电子邮箱</w:t>
      </w:r>
      <w:r>
        <w:rPr>
          <w:rFonts w:ascii="Times New Roman" w:hAnsi="Times New Roman" w:eastAsia="楷体_GB2312" w:cs="Times New Roman"/>
          <w:b/>
          <w:sz w:val="28"/>
        </w:rPr>
        <w:t>：</w:t>
      </w:r>
      <w:r>
        <w:rPr>
          <w:rFonts w:hint="eastAsia" w:ascii="Times New Roman" w:hAnsi="Times New Roman" w:eastAsia="楷体_GB2312" w:cs="Times New Roman"/>
          <w:b/>
          <w:sz w:val="28"/>
        </w:rPr>
        <w:t>zhengwen6795@163.com</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w:t>
      </w:r>
      <w:r>
        <w:rPr>
          <w:rFonts w:ascii="Times New Roman" w:hAnsi="Times New Roman" w:eastAsia="楷体_GB2312" w:cs="Times New Roman"/>
          <w:b/>
          <w:sz w:val="28"/>
        </w:rPr>
        <w:t>名称：</w:t>
      </w:r>
      <w:r>
        <w:rPr>
          <w:rFonts w:hint="eastAsia" w:ascii="Times New Roman" w:hAnsi="Times New Roman" w:eastAsia="楷体_GB2312" w:cs="Times New Roman"/>
          <w:b/>
          <w:sz w:val="28"/>
        </w:rPr>
        <w:t>黑龙江八一农垦大学</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w:t>
      </w:r>
      <w:r>
        <w:rPr>
          <w:rFonts w:ascii="Times New Roman" w:hAnsi="Times New Roman" w:eastAsia="楷体_GB2312" w:cs="Times New Roman"/>
          <w:b/>
          <w:sz w:val="28"/>
        </w:rPr>
        <w:t>联系人/联系电话：</w:t>
      </w:r>
      <w:r>
        <w:rPr>
          <w:rFonts w:hint="eastAsia" w:ascii="Times New Roman" w:hAnsi="Times New Roman" w:eastAsia="楷体_GB2312" w:cs="Times New Roman"/>
          <w:b/>
          <w:sz w:val="28"/>
        </w:rPr>
        <w:t>王宪青 0459-6819099</w:t>
      </w:r>
    </w:p>
    <w:p>
      <w:pPr>
        <w:spacing w:before="120" w:after="120" w:line="440" w:lineRule="exact"/>
        <w:rPr>
          <w:rFonts w:ascii="Times New Roman" w:hAnsi="Times New Roman" w:eastAsia="楷体_GB2312" w:cs="Times New Roman"/>
          <w:b/>
          <w:sz w:val="28"/>
        </w:rPr>
      </w:pPr>
    </w:p>
    <w:p>
      <w:pPr>
        <w:spacing w:before="120" w:after="120" w:line="440" w:lineRule="exact"/>
        <w:rPr>
          <w:rFonts w:ascii="Times New Roman" w:hAnsi="Times New Roman" w:eastAsia="楷体_GB2312" w:cs="Times New Roman"/>
          <w:b/>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楷体_GB2312" w:cs="Times New Roman"/>
          <w:sz w:val="28"/>
        </w:rPr>
        <w:t>2022</w:t>
      </w:r>
      <w:r>
        <w:rPr>
          <w:rFonts w:ascii="Times New Roman" w:hAnsi="Times New Roman" w:eastAsia="楷体_GB2312" w:cs="Times New Roman"/>
          <w:sz w:val="28"/>
        </w:rPr>
        <w:t xml:space="preserve">年  </w:t>
      </w:r>
      <w:r>
        <w:rPr>
          <w:rFonts w:hint="eastAsia" w:ascii="Times New Roman" w:hAnsi="Times New Roman" w:eastAsia="楷体_GB2312" w:cs="Times New Roman"/>
          <w:sz w:val="28"/>
        </w:rPr>
        <w:t>1</w:t>
      </w:r>
      <w:r>
        <w:rPr>
          <w:rFonts w:ascii="Times New Roman" w:hAnsi="Times New Roman" w:eastAsia="楷体_GB2312" w:cs="Times New Roman"/>
          <w:sz w:val="28"/>
        </w:rPr>
        <w:t xml:space="preserve"> 月 </w:t>
      </w:r>
      <w:r>
        <w:rPr>
          <w:rFonts w:hint="eastAsia" w:ascii="Times New Roman" w:hAnsi="Times New Roman" w:eastAsia="楷体_GB2312" w:cs="Times New Roman"/>
          <w:sz w:val="28"/>
        </w:rPr>
        <w:t>15</w:t>
      </w:r>
      <w:r>
        <w:rPr>
          <w:rFonts w:ascii="Times New Roman" w:hAnsi="Times New Roman" w:eastAsia="楷体_GB2312" w:cs="Times New Roman"/>
          <w:sz w:val="28"/>
        </w:rPr>
        <w:t xml:space="preserve"> 日填报</w:t>
      </w:r>
    </w:p>
    <w:p>
      <w:pPr>
        <w:widowControl/>
        <w:jc w:val="center"/>
        <w:rPr>
          <w:rFonts w:ascii="黑体" w:hAnsi="黑体" w:eastAsia="黑体" w:cs="仿宋_GB2312"/>
          <w:bCs/>
          <w:sz w:val="32"/>
          <w:szCs w:val="32"/>
        </w:rPr>
      </w:pPr>
      <w:r>
        <w:rPr>
          <w:rFonts w:ascii="仿宋_GB2312" w:eastAsia="仿宋_GB2312"/>
          <w:sz w:val="28"/>
          <w:szCs w:val="28"/>
        </w:rPr>
        <w:br w:type="page"/>
      </w:r>
      <w:r>
        <w:rPr>
          <w:rFonts w:hint="eastAsia" w:ascii="黑体" w:hAnsi="黑体" w:eastAsia="黑体"/>
          <w:sz w:val="32"/>
          <w:szCs w:val="32"/>
        </w:rPr>
        <w:t xml:space="preserve">第一部分  </w:t>
      </w:r>
      <w:r>
        <w:rPr>
          <w:rFonts w:hint="eastAsia" w:ascii="黑体" w:hAnsi="黑体" w:eastAsia="黑体" w:cs="黑体"/>
          <w:bCs/>
          <w:sz w:val="32"/>
          <w:szCs w:val="32"/>
        </w:rPr>
        <w:t>年度报告</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黑龙江八一农垦大学寒地作物栽培技术实验教学中心是面向全校农学类本科生开放的校级实验教学平台。中心成立于2003年，2009年成为省级实验教学示范中心，2015年12月获批成为国家级实验教学示范中心。2021年因受疫情影响，实验教学中心实验项目、教学工作量、承办大型会议、中心人员参加国内外会议等均有所减少。具体情况，介绍如下。 </w:t>
      </w:r>
    </w:p>
    <w:p>
      <w:pPr>
        <w:ind w:firstLine="560" w:firstLineChars="200"/>
        <w:rPr>
          <w:rFonts w:ascii="仿宋_GB2312" w:eastAsia="仿宋_GB2312" w:cs="仿宋_GB2312"/>
          <w:bCs/>
          <w:sz w:val="28"/>
          <w:szCs w:val="28"/>
        </w:rPr>
      </w:pPr>
      <w:r>
        <w:rPr>
          <w:rFonts w:hint="eastAsia" w:ascii="仿宋_GB2312" w:hAnsi="仿宋_GB2312" w:eastAsia="仿宋_GB2312" w:cs="仿宋_GB2312"/>
          <w:sz w:val="28"/>
          <w:szCs w:val="28"/>
        </w:rPr>
        <w:t>因为学校实验室用房调整，我院实验教学中心现有实验室建筑面积约6294㎡，较上一年增加约1559㎡，但根据财政厅《黑龙江省财政厅关于开展行政事业单位资产盘点和数据治理工作的通知》黑财资〔2020〕43号文件精神，2021年我校进行了固定资产盘点，学院还对超出使用年限、可能存在安全隐患的仪器统一进行报废，但2020年初实验中心还招标采购价值300万元，共计200余台套仪器，故实验示范中心现有仪器设备 2454 台（套），总价值 4167余万元，同比上年增加141台套，总价值增加340余万元；2021年全年实验通过线下完成，故本年度教学工作量达到13.86 万人时数。经过 10 多年的建设，构建了以“4模块+4能力”为核心的服务现代化大农业人才培养的实践教学体系，有力的支持了我校农学类专业人才的培养。黑龙江八一农垦大学作为支撑我国寒地现代化大农业的人才和技术摇篮，素有“垦区黄埔”之美誉，寒地作物栽培技术实验教学中心已成为这座“垦区黄埔”不可或缺的重要组成部分。</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一、人才培养工作和成效</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（一）人才培养基本情况。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1.中心面向9个农学类专业，1个生命专业</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开设植物、遗传、微生物、生理生化、分子生物学、土壤农化、植物保护、作物栽培和育种等专业基础和专业实验课程 59门，实验项目 375个，其中综合、设计类项目占 44.5 %，本年度实验教学达 13.86万人时数。</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 2021届毕业生总人数为415人，就业总人数为390人，就业率91.3%。其中，考取研究生人数占比34.1%。</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ascii="仿宋_GB2312" w:hAnsi="仿宋_GB2312" w:eastAsia="仿宋_GB2312" w:cs="仿宋_GB2312"/>
          <w:sz w:val="28"/>
          <w:szCs w:val="28"/>
        </w:rPr>
        <w:t xml:space="preserve"> 全年获批大学生创新创业项目15项，其中国家级9项，省级6项。</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ascii="仿宋_GB2312" w:hAnsi="仿宋_GB2312" w:eastAsia="仿宋_GB2312" w:cs="仿宋_GB2312"/>
          <w:sz w:val="28"/>
          <w:szCs w:val="28"/>
        </w:rPr>
        <w:t xml:space="preserve"> 结题项目参加各类竞赛获奖</w:t>
      </w:r>
      <w:r>
        <w:rPr>
          <w:rFonts w:hint="eastAsia" w:ascii="仿宋_GB2312" w:hAnsi="仿宋_GB2312" w:eastAsia="仿宋_GB2312" w:cs="仿宋_GB2312"/>
          <w:sz w:val="28"/>
          <w:szCs w:val="28"/>
        </w:rPr>
        <w:t>28</w:t>
      </w:r>
      <w:r>
        <w:rPr>
          <w:rFonts w:ascii="仿宋_GB2312" w:hAnsi="仿宋_GB2312" w:eastAsia="仿宋_GB2312" w:cs="仿宋_GB2312"/>
          <w:sz w:val="28"/>
          <w:szCs w:val="28"/>
        </w:rPr>
        <w:t>项，</w:t>
      </w:r>
      <w:r>
        <w:rPr>
          <w:rFonts w:hint="eastAsia" w:ascii="仿宋_GB2312" w:hAnsi="仿宋_GB2312" w:eastAsia="仿宋_GB2312" w:cs="仿宋_GB2312"/>
          <w:sz w:val="28"/>
          <w:szCs w:val="28"/>
        </w:rPr>
        <w:t>其中</w:t>
      </w:r>
      <w:r>
        <w:rPr>
          <w:rFonts w:ascii="仿宋_GB2312" w:hAnsi="仿宋_GB2312" w:eastAsia="仿宋_GB2312" w:cs="仿宋_GB2312"/>
          <w:sz w:val="28"/>
          <w:szCs w:val="28"/>
        </w:rPr>
        <w:t>第七届国际“互联网+”大学生创新创业大赛银奖1项、铜奖2项</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第七届黑龙江省“互联网+”大学生创新创业大赛金奖6项、银奖6项、铜奖2项</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第六届全国大学生生命科学创新创业大赛一等奖1项</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第十七届工银e联“挑战杯”黑龙江省大学生课外学术科技作品竞赛二等奖2项、三等奖1项</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第八届“共享杯”科技资源共享服务创新大赛二等奖1项</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第十二届哈尔滨大学生创业大赛二等奖1项</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第八届全国植物生产类大学生创新实践论坛暨大学生创新创业训练计划成果展二等奖2项、三等奖3项。</w:t>
      </w:r>
      <w:r>
        <w:rPr>
          <w:rFonts w:hint="eastAsia" w:ascii="仿宋_GB2312" w:hAnsi="仿宋_GB2312" w:eastAsia="仿宋_GB2312" w:cs="仿宋_GB2312"/>
          <w:sz w:val="28"/>
          <w:szCs w:val="28"/>
        </w:rPr>
        <w:t>同时，</w:t>
      </w:r>
      <w:r>
        <w:rPr>
          <w:rFonts w:ascii="仿宋_GB2312" w:hAnsi="仿宋_GB2312" w:eastAsia="仿宋_GB2312" w:cs="仿宋_GB2312"/>
          <w:sz w:val="28"/>
          <w:szCs w:val="28"/>
        </w:rPr>
        <w:t>年内农学院自主开展了土肥、植保、作物学专业技能竞赛，努力提高学生的专业技能和综合素质。</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w:t>
      </w:r>
      <w:r>
        <w:rPr>
          <w:rFonts w:hint="eastAsia" w:ascii="楷体" w:hAnsi="楷体" w:eastAsia="楷体" w:cs="仿宋_GB2312"/>
          <w:sz w:val="28"/>
          <w:szCs w:val="28"/>
        </w:rPr>
        <w:t>二）人才培养成效评价等。</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心始终以社会需求为轴心，以质量保证规模，以科研推动教学，以改革促进发展，注重学生实践和创新能力的培养。通过实验教学改革，调动学生从事科研的兴趣，增强了学习主动性。许多学生从大一下学期开始就自主参加教师课题，申报大学生创新创业项目。大二下学期，所有学生必须进入导师课题组开展毕业论文和科研训练，一直到第八学期答辩，历时两年。在开展科学研究中，学生经历作物整个生长周期，科研活动中培养了学生服务现代农业的社会责任感，培养了吃苦耐劳精神，提升了学习、实践和创新能力，综合素质和科学素养普遍提高。</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向企事业用人单位发放调查问卷，对人才培养质量进行评价。调查内容涉及学生的专业理论知识，外语和计算机水平，实践、创新、组织管理、获取信息和应变能力，敬业、合作和开拓精神以及社会责任感等多方面内容。各高校、科研单位反映我们输送的考研生“综合素质好，基础扎实，技术技能全面，科研上手快，设计实验能力强”。用人单位评价毕业生“作风朴实、适应能力强和实践动手能力强，基础知识和专业技能扎实，创新能力强”。很多学生能快速适应垦区基层和其他企事业单位的管理和技术岗位，中心为现代化大农业发展培养了一大批德能兼备的高素质人才。</w:t>
      </w:r>
    </w:p>
    <w:p>
      <w:pPr>
        <w:ind w:firstLine="560" w:firstLineChars="200"/>
        <w:jc w:val="left"/>
        <w:rPr>
          <w:rFonts w:ascii="楷体" w:hAnsi="楷体" w:eastAsia="楷体" w:cs="仿宋_GB2312"/>
          <w:sz w:val="28"/>
          <w:szCs w:val="28"/>
        </w:rPr>
      </w:pPr>
      <w:r>
        <w:rPr>
          <w:rFonts w:hint="eastAsia" w:ascii="仿宋_GB2312" w:hAnsi="仿宋_GB2312" w:eastAsia="仿宋_GB2312" w:cs="仿宋_GB2312"/>
          <w:sz w:val="28"/>
          <w:szCs w:val="28"/>
        </w:rPr>
        <w:t>扎实推进“3+1”校企协同育人模式，拓宽联合培养渠道，与垦区联合培养的同时，开展了与市县政府合作的“3+1”联合培养，派往五大连池市、农资公司实习25人，经过3个月的实习实训，学生们的综合素质得到显著提高。</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二、人才队伍建设</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（一）队伍建设基本情况。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1.人员情况：中心现有固定人员 100人，其中主任 1 人、副主任 1 人、管理人员 5 人、教学和技术人员 93人。</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2.职称结构：中心人员有教授、研究员 35 人，其中博导 16 人；副教授、副研究员和高级实验师 37 人、讲师、助理研究员和中级实验师 27 人，初级实验师 1人。职称水平较高，结构合理。</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3.学历结构：中心人员中博士学历 77人、硕士 22 人，学士 1 人。博士化率达 77 %，硕士以上达99 %，人员整体学历水平较高。</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4.年龄结构：中心人员中年龄&gt;50岁的31人，40-49岁人员 51 人，&lt;40岁人员 30 人，年龄结构也比较合理。</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（二）队伍建设的举措与取得的成绩等。</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中心积极拓宽与各高校、科研院所、行业企业交流途径，采取“外引与内培”相结合的方式，不断优化实践教学队伍，加强实验室内涵建设，建设与理论队伍互通，教学科研技术兼容，核心骨干相对稳定，年龄、职称、知识能力素质结构合理，实践教学经验丰富、熟悉本学科前沿技术、富有敬业和创新精神的实践教学队伍。</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校在教师培养培训方面出台了《黑龙江八一农垦大学教师培养培训管理办法》、《黑龙江八一农垦大学教师岗前培训办法》、《黑龙江八一农垦大学青年教师导师制实施办法》和《黑龙江八一农垦大学教师社会实践实施办法》等一系列制度，中心在执行学校各项规章制度同时，建立健全岗位责任制，制定了工作考核、安全管理、档案管理等制度。其中工作考核包括定期工作考评、年终考核、综合评价和评优等。建立实验教师队伍的考核奖励和退出机制，保证骨干力量相对稳定和队伍结构的动态平衡。</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参加校内外、学院和中心举办的实验教学和方法、大型仪器设备维护测试、功能开发与运行管理、实验室安全管理和建设等方面的业务培训，加强对实验教师和技术人员的职业素养和业务理论，保证实验中心每个教师都有至少1-2次的培训、实践学习机会。</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按照中心实验教师引进及培养计划，通过人才引进、攻读学位、国内外进修访问交流以及社会实践等形式，加强教师的培训学习，组织教师外出学习、交流、培训累计50余人次，教师能力明显提升。2021年我院引进、调入博士教师共4人，硕士教师4人。受疫情影响，2021年中心人员参加国内外学术会议人数同比上一年度有所减少，计15 多人次，在国内学术会议上做专题报告 5人次。 </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实行青年教师导师制，由经验丰富的老教师对新教师进行“传、帮、带”，促进青年教师教学实验水平的提高，并组建课程团队，建立课程组负责人制度，积极开展教学改革、科学研究和社会服务，以利于提升中心实验教师队伍的实践水平和能力。</w:t>
      </w:r>
    </w:p>
    <w:p>
      <w:pPr>
        <w:numPr>
          <w:ilvl w:val="0"/>
          <w:numId w:val="1"/>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外聘实习实践指导教师。受疫情影响，本年度农学类本科专业学生上半年未到农场实习，下半年仅到大庆市周边基地实习，本年度聘请校外实践指导教师仅9人。</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三、教学改革与科学研究</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（一）教学改革立项、进展、完成等情况。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1.目前在研省教育厅教改项目 21 项，2019年立项 2 项，2020年立项6项（均在研），2021年立项 13 项。</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2.发表教研论文16篇。</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3.获校级教学成果一等奖1项。</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（二）2021年度科学研究等情况。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1.承担省部级以上在研项目 26 项，总经费 946 万元。</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2.授权发明专利10项，获批市级以上地方标准5项。</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3.在国外刊物上发表科研论文 40 篇，国内重要刊物上发表论文 66篇，国内一般刊物发表论文 24 篇。</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 主编农业部“十三五”国家规划特色教材1部，出版中文专著 8部。</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5.获得科研奖励 3项，其中黑龙江省科技进步二等奖2项，三等奖1项，厅局级一等奖 3 项。</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四、信息化建设、开放运行和示范辐射</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（一）信息化资源、平台建设，人员信息化能力提升等情况。</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中心一直重视信息化建设，依托校园网络系统，建立了中心管理网络信息平台，并积极利用网络资源，推动信息化教育，为教师教学和学生自主学习提供了高效的实践教学互动平台。加强对中心人员的信息化能力培训，积极打造五类“金课”建设，获批省级线上线下混合金课1门、获批建设校级线上线下混合课程4门、获得校级课程思政示范项目一等奖1门、完成2项虚拟仿真实验项目建设、教学视频6个并投入运行。</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（二）开放运行、安全运行等情况。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中心实行开放运行管理，制定实验室开放制度，向全校师生及社会人员开放。课内实验以学生团体形式预约进入开放实验室，并做好实验记录的登记；课外实验则以学生自选课题、参与教师科研任务和完成毕业论文课题等方式由学生填写开放实验申请表，经实验中心同意后即可进入开放实验室开展实验。同时，中心网站还提供了实验预约、精密仪器设备预约和网上选课功能。学生可以在网站里对一些实验多媒体课件、实验视频及实验项目进行在线学习，同时也可在互动平台与老师进行讨论与交流。</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中心严格按照教育部和黑龙江八一农垦大学实验室安全管理制度进行管理。经常性的对实验室工作人员及学生进行安全教育。每个实验室设安全员、责任到人，负责日常安全检查。对易燃、易爆、有毒、有害的化学试剂设有危险品仓库，设专人管理。坚持每年与实验室管理人员签订安全责任书，坚持各实验室实验技术人员安全自查、节假日中心集中安全检查制度，如有问题及时整改。制订了实验室污水、有害气体、固体废弃物分类处理的相关规定并严格执行。中心各实验室设施维护、运行良好，为师生提供了优良的实验教学环境。</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（三）对外交流合作、发挥示范引领、支持中西部高校实验教学改革等情况。</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因受疫情影响，2021年度示范中心对外交流、社会服务、人才培训等均有所减少。</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1.邀请国内知名学者7人来中心讲学、培训百余人次。</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2.中心人员深入农垦和地方开展形式多样的科技服务活动，社会服务50余次，参加服务教师达40余人次。完成农技人才培训任务10次，共计培训学员423人；接待高校、科研院所和农业生产单位等参调研与交流 30余人次。</w:t>
      </w:r>
    </w:p>
    <w:p>
      <w:pPr>
        <w:ind w:firstLine="560" w:firstLineChars="200"/>
        <w:rPr>
          <w:rFonts w:ascii="楷体" w:hAnsi="楷体" w:eastAsia="楷体" w:cs="仿宋_GB2312"/>
          <w:sz w:val="28"/>
          <w:szCs w:val="28"/>
        </w:rPr>
      </w:pPr>
      <w:r>
        <w:rPr>
          <w:rFonts w:hint="eastAsia" w:ascii="仿宋_GB2312" w:hAnsi="仿宋_GB2312" w:eastAsia="仿宋_GB2312" w:cs="仿宋_GB2312"/>
          <w:sz w:val="28"/>
          <w:szCs w:val="28"/>
        </w:rPr>
        <w:t>3.因受疫情影响，今年我校未举办“高考校园开放日”活动及新生开学，家长参观等活动。</w:t>
      </w:r>
    </w:p>
    <w:p>
      <w:pPr>
        <w:ind w:firstLine="560" w:firstLineChars="200"/>
        <w:rPr>
          <w:rFonts w:ascii="黑体" w:hAnsi="黑体" w:eastAsia="黑体" w:cs="仿宋_GB2312"/>
          <w:color w:val="000000"/>
          <w:sz w:val="28"/>
          <w:szCs w:val="28"/>
        </w:rPr>
      </w:pPr>
      <w:r>
        <w:rPr>
          <w:rFonts w:hint="eastAsia" w:ascii="黑体" w:hAnsi="黑体" w:eastAsia="黑体" w:cs="仿宋_GB2312"/>
          <w:sz w:val="28"/>
          <w:szCs w:val="28"/>
        </w:rPr>
        <w:t>五、</w:t>
      </w:r>
      <w:r>
        <w:rPr>
          <w:rFonts w:hint="eastAsia" w:ascii="黑体" w:hAnsi="黑体" w:eastAsia="黑体" w:cs="仿宋_GB2312"/>
          <w:color w:val="000000"/>
          <w:sz w:val="28"/>
          <w:szCs w:val="28"/>
        </w:rPr>
        <w:t>示范中心大事记</w:t>
      </w:r>
    </w:p>
    <w:p>
      <w:pPr>
        <w:ind w:firstLine="560" w:firstLineChars="200"/>
        <w:rPr>
          <w:rFonts w:hint="eastAsia" w:ascii="楷体" w:hAnsi="楷体" w:eastAsia="楷体" w:cs="仿宋_GB2312"/>
          <w:color w:val="000000"/>
          <w:sz w:val="28"/>
          <w:szCs w:val="28"/>
        </w:rPr>
      </w:pPr>
      <w:r>
        <w:rPr>
          <w:rFonts w:hint="eastAsia" w:ascii="楷体" w:hAnsi="楷体" w:eastAsia="楷体" w:cs="仿宋_GB2312"/>
          <w:color w:val="000000"/>
          <w:sz w:val="28"/>
          <w:szCs w:val="28"/>
        </w:rPr>
        <w:t>1.全国植物病理学研讨会在我校召开；</w:t>
      </w:r>
    </w:p>
    <w:p>
      <w:pPr>
        <w:jc w:val="center"/>
        <w:rPr>
          <w:rFonts w:ascii="楷体" w:hAnsi="楷体" w:eastAsia="楷体" w:cs="仿宋_GB2312"/>
          <w:color w:val="000000"/>
          <w:sz w:val="28"/>
          <w:szCs w:val="28"/>
        </w:rPr>
      </w:pPr>
      <w:r>
        <w:rPr>
          <w:rFonts w:ascii="楷体" w:hAnsi="楷体" w:eastAsia="楷体" w:cs="仿宋_GB2312"/>
          <w:color w:val="000000"/>
          <w:sz w:val="28"/>
          <w:szCs w:val="28"/>
        </w:rPr>
        <w:drawing>
          <wp:inline distT="0" distB="0" distL="0" distR="0">
            <wp:extent cx="4889500" cy="2974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92706" cy="2976298"/>
                    </a:xfrm>
                    <a:prstGeom prst="rect">
                      <a:avLst/>
                    </a:prstGeom>
                  </pic:spPr>
                </pic:pic>
              </a:graphicData>
            </a:graphic>
          </wp:inline>
        </w:drawing>
      </w:r>
    </w:p>
    <w:p>
      <w:pPr>
        <w:ind w:firstLine="560" w:firstLineChars="200"/>
        <w:rPr>
          <w:rFonts w:hint="eastAsia" w:ascii="楷体" w:hAnsi="楷体" w:eastAsia="楷体" w:cs="仿宋_GB2312"/>
          <w:color w:val="000000"/>
          <w:sz w:val="28"/>
          <w:szCs w:val="28"/>
        </w:rPr>
      </w:pPr>
      <w:r>
        <w:rPr>
          <w:rFonts w:hint="eastAsia" w:ascii="楷体" w:hAnsi="楷体" w:eastAsia="楷体" w:cs="仿宋_GB2312"/>
          <w:color w:val="000000"/>
          <w:sz w:val="28"/>
          <w:szCs w:val="28"/>
        </w:rPr>
        <w:t>2.我校盐碱地改良及示范基地建设取得新突破</w:t>
      </w:r>
    </w:p>
    <w:p>
      <w:pPr>
        <w:jc w:val="center"/>
        <w:rPr>
          <w:rFonts w:ascii="楷体" w:hAnsi="楷体" w:eastAsia="楷体" w:cs="仿宋_GB2312"/>
          <w:color w:val="000000"/>
          <w:sz w:val="28"/>
          <w:szCs w:val="28"/>
        </w:rPr>
      </w:pPr>
      <w:r>
        <w:rPr>
          <w:rFonts w:ascii="楷体" w:hAnsi="楷体" w:eastAsia="楷体" w:cs="仿宋_GB2312"/>
          <w:color w:val="000000"/>
          <w:sz w:val="28"/>
          <w:szCs w:val="28"/>
        </w:rPr>
        <w:drawing>
          <wp:inline distT="0" distB="0" distL="0" distR="0">
            <wp:extent cx="5064760" cy="3093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63814" cy="3092587"/>
                    </a:xfrm>
                    <a:prstGeom prst="rect">
                      <a:avLst/>
                    </a:prstGeom>
                  </pic:spPr>
                </pic:pic>
              </a:graphicData>
            </a:graphic>
          </wp:inline>
        </w:drawing>
      </w:r>
    </w:p>
    <w:p>
      <w:pPr>
        <w:ind w:firstLine="560" w:firstLineChars="200"/>
        <w:rPr>
          <w:rFonts w:hint="eastAsia" w:ascii="楷体" w:hAnsi="楷体" w:eastAsia="楷体" w:cs="仿宋_GB2312"/>
          <w:color w:val="000000"/>
          <w:sz w:val="28"/>
          <w:szCs w:val="28"/>
        </w:rPr>
      </w:pPr>
      <w:r>
        <w:rPr>
          <w:rFonts w:hint="eastAsia" w:ascii="楷体" w:hAnsi="楷体" w:eastAsia="楷体" w:cs="仿宋_GB2312"/>
          <w:color w:val="000000"/>
          <w:sz w:val="28"/>
          <w:szCs w:val="28"/>
        </w:rPr>
        <w:t>3.农学院在全国农科学子联合实践行动中获佳绩</w:t>
      </w:r>
    </w:p>
    <w:p>
      <w:pPr>
        <w:jc w:val="center"/>
        <w:rPr>
          <w:rFonts w:hint="eastAsia" w:ascii="黑体" w:hAnsi="黑体" w:eastAsia="黑体" w:cs="仿宋_GB2312"/>
          <w:sz w:val="28"/>
          <w:szCs w:val="28"/>
        </w:rPr>
      </w:pPr>
      <w:r>
        <w:rPr>
          <w:rFonts w:ascii="黑体" w:hAnsi="黑体" w:eastAsia="黑体" w:cs="仿宋_GB2312"/>
          <w:sz w:val="28"/>
          <w:szCs w:val="28"/>
        </w:rPr>
        <w:drawing>
          <wp:inline distT="0" distB="0" distL="0" distR="0">
            <wp:extent cx="5076825" cy="3114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6096" cy="3113542"/>
                    </a:xfrm>
                    <a:prstGeom prst="rect">
                      <a:avLst/>
                    </a:prstGeom>
                  </pic:spPr>
                </pic:pic>
              </a:graphicData>
            </a:graphic>
          </wp:inline>
        </w:drawing>
      </w:r>
    </w:p>
    <w:p>
      <w:pPr>
        <w:ind w:firstLine="560" w:firstLineChars="200"/>
        <w:rPr>
          <w:rFonts w:hint="eastAsia" w:ascii="楷体" w:hAnsi="楷体" w:eastAsia="楷体" w:cs="仿宋_GB2312"/>
          <w:color w:val="000000"/>
          <w:sz w:val="28"/>
          <w:szCs w:val="28"/>
        </w:rPr>
      </w:pPr>
    </w:p>
    <w:p>
      <w:pPr>
        <w:ind w:firstLine="560" w:firstLineChars="200"/>
        <w:rPr>
          <w:rFonts w:hint="eastAsia" w:ascii="楷体" w:hAnsi="楷体" w:eastAsia="楷体" w:cs="仿宋_GB2312"/>
          <w:color w:val="000000"/>
          <w:sz w:val="28"/>
          <w:szCs w:val="28"/>
        </w:rPr>
      </w:pPr>
    </w:p>
    <w:p>
      <w:pPr>
        <w:ind w:firstLine="560" w:firstLineChars="200"/>
        <w:rPr>
          <w:rFonts w:hint="eastAsia" w:ascii="楷体" w:hAnsi="楷体" w:eastAsia="楷体" w:cs="仿宋_GB2312"/>
          <w:color w:val="000000"/>
          <w:sz w:val="28"/>
          <w:szCs w:val="28"/>
        </w:rPr>
      </w:pPr>
    </w:p>
    <w:p>
      <w:pPr>
        <w:ind w:firstLine="560" w:firstLineChars="200"/>
        <w:rPr>
          <w:rFonts w:hint="eastAsia" w:ascii="楷体" w:hAnsi="楷体" w:eastAsia="楷体" w:cs="仿宋_GB2312"/>
          <w:color w:val="000000"/>
          <w:sz w:val="28"/>
          <w:szCs w:val="28"/>
        </w:rPr>
      </w:pPr>
    </w:p>
    <w:p>
      <w:pPr>
        <w:ind w:firstLine="560" w:firstLineChars="200"/>
        <w:rPr>
          <w:rFonts w:hint="eastAsia" w:ascii="楷体" w:hAnsi="楷体" w:eastAsia="楷体" w:cs="仿宋_GB2312"/>
          <w:color w:val="000000"/>
          <w:sz w:val="28"/>
          <w:szCs w:val="28"/>
        </w:rPr>
      </w:pPr>
      <w:r>
        <w:rPr>
          <w:rFonts w:hint="eastAsia" w:ascii="楷体" w:hAnsi="楷体" w:eastAsia="楷体" w:cs="仿宋_GB2312"/>
          <w:color w:val="000000"/>
          <w:sz w:val="28"/>
          <w:szCs w:val="28"/>
        </w:rPr>
        <w:t>4.农学院与市机关一小开展“大手拉小手”共建活动</w:t>
      </w:r>
    </w:p>
    <w:p>
      <w:pPr>
        <w:rPr>
          <w:rFonts w:ascii="黑体" w:hAnsi="黑体" w:eastAsia="黑体" w:cs="仿宋_GB2312"/>
          <w:sz w:val="28"/>
          <w:szCs w:val="28"/>
        </w:rPr>
      </w:pPr>
      <w:r>
        <w:rPr>
          <w:rFonts w:ascii="黑体" w:hAnsi="黑体" w:eastAsia="黑体" w:cs="仿宋_GB2312"/>
          <w:sz w:val="28"/>
          <w:szCs w:val="28"/>
        </w:rPr>
        <w:drawing>
          <wp:inline distT="0" distB="0" distL="0" distR="0">
            <wp:extent cx="5090160" cy="2966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404" cy="2970068"/>
                    </a:xfrm>
                    <a:prstGeom prst="rect">
                      <a:avLst/>
                    </a:prstGeom>
                  </pic:spPr>
                </pic:pic>
              </a:graphicData>
            </a:graphic>
          </wp:inline>
        </w:drawing>
      </w:r>
    </w:p>
    <w:p>
      <w:pPr>
        <w:ind w:firstLine="560" w:firstLineChars="200"/>
        <w:jc w:val="left"/>
        <w:rPr>
          <w:rFonts w:ascii="黑体" w:hAnsi="黑体" w:eastAsia="黑体" w:cs="仿宋_GB2312"/>
          <w:sz w:val="28"/>
          <w:szCs w:val="28"/>
        </w:rPr>
      </w:pPr>
      <w:r>
        <w:rPr>
          <w:rFonts w:hint="eastAsia" w:ascii="黑体" w:hAnsi="黑体" w:eastAsia="黑体" w:cs="仿宋_GB2312"/>
          <w:sz w:val="28"/>
          <w:szCs w:val="28"/>
        </w:rPr>
        <w:t>六、示范中心存在的主要问题</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1.建设经费还存在一定缺口，仪器设备还比较落后，有待更新。</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2.设备落后带来的弊端是实验项目更新率还比较低。</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3.青年教师的实践能力有待加强，人员信息化教育、信息化水平都有待加强。</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4.与国内外高校、科研院所的交流合作有待加强。</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七、</w:t>
      </w:r>
      <w:bookmarkStart w:id="0" w:name="OLE_LINK17"/>
      <w:bookmarkStart w:id="1" w:name="OLE_LINK28"/>
      <w:bookmarkStart w:id="2" w:name="OLE_LINK31"/>
      <w:bookmarkStart w:id="3" w:name="OLE_LINK41"/>
      <w:bookmarkStart w:id="4" w:name="OLE_LINK27"/>
      <w:bookmarkStart w:id="5" w:name="OLE_LINK25"/>
      <w:bookmarkStart w:id="6" w:name="OLE_LINK38"/>
      <w:bookmarkStart w:id="7" w:name="OLE_LINK43"/>
      <w:bookmarkStart w:id="8" w:name="OLE_LINK5"/>
      <w:bookmarkStart w:id="9" w:name="OLE_LINK34"/>
      <w:bookmarkStart w:id="10" w:name="OLE_LINK9"/>
      <w:bookmarkStart w:id="11" w:name="OLE_LINK1"/>
      <w:bookmarkStart w:id="12" w:name="OLE_LINK8"/>
      <w:bookmarkStart w:id="13" w:name="OLE_LINK15"/>
      <w:bookmarkStart w:id="14" w:name="OLE_LINK13"/>
      <w:bookmarkStart w:id="15" w:name="OLE_LINK14"/>
      <w:bookmarkStart w:id="16" w:name="OLE_LINK12"/>
      <w:bookmarkStart w:id="17" w:name="OLE_LINK11"/>
      <w:bookmarkStart w:id="18" w:name="OLE_LINK2"/>
      <w:bookmarkStart w:id="19" w:name="OLE_LINK3"/>
      <w:bookmarkStart w:id="20" w:name="OLE_LINK6"/>
      <w:bookmarkStart w:id="21" w:name="OLE_LINK10"/>
      <w:bookmarkStart w:id="22" w:name="OLE_LINK46"/>
      <w:bookmarkStart w:id="23" w:name="OLE_LINK45"/>
      <w:bookmarkStart w:id="24" w:name="OLE_LINK16"/>
      <w:bookmarkStart w:id="25" w:name="OLE_LINK7"/>
      <w:bookmarkStart w:id="26" w:name="OLE_LINK42"/>
      <w:bookmarkStart w:id="27" w:name="OLE_LINK22"/>
      <w:bookmarkStart w:id="28" w:name="OLE_LINK4"/>
      <w:bookmarkStart w:id="29" w:name="OLE_LINK76"/>
      <w:bookmarkStart w:id="30" w:name="OLE_LINK86"/>
      <w:bookmarkStart w:id="31" w:name="OLE_LINK100"/>
      <w:bookmarkStart w:id="32" w:name="OLE_LINK83"/>
      <w:bookmarkStart w:id="33" w:name="OLE_LINK95"/>
      <w:bookmarkStart w:id="34" w:name="OLE_LINK94"/>
      <w:bookmarkStart w:id="35" w:name="OLE_LINK93"/>
      <w:bookmarkStart w:id="36" w:name="OLE_LINK81"/>
      <w:bookmarkStart w:id="37" w:name="OLE_LINK98"/>
      <w:bookmarkStart w:id="38" w:name="OLE_LINK90"/>
      <w:bookmarkStart w:id="39" w:name="OLE_LINK96"/>
      <w:bookmarkStart w:id="40" w:name="OLE_LINK89"/>
      <w:bookmarkStart w:id="41" w:name="OLE_LINK102"/>
      <w:bookmarkStart w:id="42" w:name="OLE_LINK85"/>
      <w:bookmarkStart w:id="43" w:name="OLE_LINK84"/>
      <w:bookmarkStart w:id="44" w:name="OLE_LINK88"/>
      <w:bookmarkStart w:id="45" w:name="OLE_LINK101"/>
      <w:bookmarkStart w:id="46" w:name="OLE_LINK91"/>
      <w:bookmarkStart w:id="47" w:name="OLE_LINK103"/>
      <w:bookmarkStart w:id="48" w:name="OLE_LINK99"/>
      <w:bookmarkStart w:id="49" w:name="OLE_LINK87"/>
      <w:bookmarkStart w:id="50" w:name="OLE_LINK82"/>
      <w:bookmarkStart w:id="51" w:name="OLE_LINK92"/>
      <w:bookmarkStart w:id="52" w:name="OLE_LINK97"/>
      <w:bookmarkStart w:id="53" w:name="OLE_LINK53"/>
      <w:bookmarkStart w:id="54" w:name="OLE_LINK60"/>
      <w:bookmarkStart w:id="55" w:name="OLE_LINK74"/>
      <w:bookmarkStart w:id="56" w:name="OLE_LINK52"/>
      <w:bookmarkStart w:id="57" w:name="OLE_LINK58"/>
      <w:bookmarkStart w:id="58" w:name="OLE_LINK54"/>
      <w:bookmarkStart w:id="59" w:name="OLE_LINK72"/>
      <w:bookmarkStart w:id="60" w:name="OLE_LINK50"/>
      <w:bookmarkStart w:id="61" w:name="OLE_LINK71"/>
      <w:bookmarkStart w:id="62" w:name="OLE_LINK69"/>
      <w:bookmarkStart w:id="63" w:name="OLE_LINK59"/>
      <w:bookmarkStart w:id="64" w:name="OLE_LINK67"/>
      <w:bookmarkStart w:id="65" w:name="OLE_LINK80"/>
      <w:bookmarkStart w:id="66" w:name="OLE_LINK63"/>
      <w:bookmarkStart w:id="67" w:name="OLE_LINK70"/>
      <w:bookmarkStart w:id="68" w:name="OLE_LINK79"/>
      <w:bookmarkStart w:id="69" w:name="OLE_LINK75"/>
      <w:bookmarkStart w:id="70" w:name="OLE_LINK73"/>
      <w:bookmarkStart w:id="71" w:name="OLE_LINK51"/>
      <w:bookmarkStart w:id="72" w:name="OLE_LINK68"/>
      <w:bookmarkStart w:id="73" w:name="OLE_LINK77"/>
      <w:bookmarkStart w:id="74" w:name="OLE_LINK78"/>
      <w:bookmarkStart w:id="75" w:name="OLE_LINK64"/>
      <w:bookmarkStart w:id="76" w:name="OLE_LINK55"/>
      <w:bookmarkStart w:id="77" w:name="OLE_LINK66"/>
      <w:bookmarkStart w:id="78" w:name="OLE_LINK49"/>
      <w:bookmarkStart w:id="79" w:name="OLE_LINK62"/>
      <w:bookmarkStart w:id="80" w:name="OLE_LINK47"/>
      <w:bookmarkStart w:id="81" w:name="OLE_LINK24"/>
      <w:bookmarkStart w:id="82" w:name="OLE_LINK35"/>
      <w:bookmarkStart w:id="83" w:name="OLE_LINK32"/>
      <w:bookmarkStart w:id="84" w:name="OLE_LINK33"/>
      <w:bookmarkStart w:id="85" w:name="OLE_LINK65"/>
      <w:bookmarkStart w:id="86" w:name="OLE_LINK18"/>
      <w:bookmarkStart w:id="87" w:name="OLE_LINK39"/>
      <w:bookmarkStart w:id="88" w:name="OLE_LINK21"/>
      <w:bookmarkStart w:id="89" w:name="OLE_LINK40"/>
      <w:bookmarkStart w:id="90" w:name="OLE_LINK20"/>
      <w:bookmarkStart w:id="91" w:name="OLE_LINK48"/>
      <w:bookmarkStart w:id="92" w:name="OLE_LINK36"/>
      <w:bookmarkStart w:id="93" w:name="OLE_LINK29"/>
      <w:bookmarkStart w:id="94" w:name="OLE_LINK23"/>
      <w:bookmarkStart w:id="95" w:name="OLE_LINK19"/>
      <w:bookmarkStart w:id="96" w:name="OLE_LINK26"/>
      <w:bookmarkStart w:id="97" w:name="OLE_LINK37"/>
      <w:bookmarkStart w:id="98" w:name="OLE_LINK56"/>
      <w:bookmarkStart w:id="99" w:name="OLE_LINK30"/>
      <w:bookmarkStart w:id="100" w:name="OLE_LINK61"/>
      <w:bookmarkStart w:id="101" w:name="OLE_LINK44"/>
      <w:bookmarkStart w:id="102" w:name="OLE_LINK57"/>
      <w:r>
        <w:rPr>
          <w:rFonts w:hint="eastAsia" w:ascii="黑体" w:hAnsi="黑体" w:eastAsia="黑体" w:cs="仿宋_GB2312"/>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黑体" w:hAnsi="黑体" w:eastAsia="黑体" w:cs="仿宋_GB2312"/>
          <w:sz w:val="28"/>
          <w:szCs w:val="28"/>
        </w:rPr>
        <w:t>的支持</w:t>
      </w:r>
    </w:p>
    <w:p>
      <w:pPr>
        <w:ind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sz w:val="28"/>
          <w:szCs w:val="28"/>
        </w:rPr>
        <w:t>1.学校在经费方面给予了一定支持，本年度运行费159万元，其中本科学生实验费30万元，实习费39万元，专业建设费50万元，实习基地建设费25万，国家、省和校级大创项目15项，经费 15万元。</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2.采取有力措施调动教师开展大学生创新创业培养。学校将指导本科生大创项目和参加创业大赛纳入职称评定、定岗定级条件，极大促进了教师的积极性，大学生创新创业活动蓬勃开展。</w:t>
      </w:r>
    </w:p>
    <w:p>
      <w:pPr>
        <w:ind w:firstLine="560" w:firstLineChars="200"/>
        <w:rPr>
          <w:rFonts w:ascii="黑体" w:hAnsi="黑体" w:eastAsia="黑体"/>
          <w:sz w:val="28"/>
          <w:szCs w:val="28"/>
        </w:rPr>
      </w:pPr>
      <w:r>
        <w:rPr>
          <w:rFonts w:hint="eastAsia" w:ascii="仿宋_GB2312" w:hAnsi="仿宋_GB2312" w:eastAsia="仿宋_GB2312" w:cs="仿宋_GB2312"/>
          <w:color w:val="000000"/>
          <w:sz w:val="28"/>
          <w:szCs w:val="28"/>
        </w:rPr>
        <w:t>3.加强实验室安全管理。学校与各级各类人员签订安全责任书，加强易燃、易爆、易制毒化学品管理，完善危化品、危险废弃物处理管理办法，加强师生安全教育，制作了《实验室安全教育手册》，做到全年安全无事故。</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八、下一年发展思路</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2021年重点是在加强实验示范教学中心的内涵建设，为进一步提高人才培养质量提供坚实保障。</w:t>
      </w:r>
    </w:p>
    <w:p>
      <w:pPr>
        <w:numPr>
          <w:ilvl w:val="0"/>
          <w:numId w:val="2"/>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按照2020年新修订的人才培养方案，在实践课程体系、内容上加大改革力度。</w:t>
      </w:r>
    </w:p>
    <w:p>
      <w:pPr>
        <w:numPr>
          <w:ilvl w:val="0"/>
          <w:numId w:val="2"/>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针对中心所属的本科实验室进行整合建设，清查资产，整合资源，更新实验项目。</w:t>
      </w:r>
    </w:p>
    <w:p>
      <w:pPr>
        <w:numPr>
          <w:ilvl w:val="0"/>
          <w:numId w:val="2"/>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继续加强中心人员的队伍建设，提高教育教学水平。</w:t>
      </w:r>
    </w:p>
    <w:p>
      <w:pPr>
        <w:numPr>
          <w:ilvl w:val="0"/>
          <w:numId w:val="2"/>
        </w:num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继续加强中心的开放运行等各方面管理、积极开展对外合作交流。</w:t>
      </w:r>
    </w:p>
    <w:p>
      <w:pPr>
        <w:numPr>
          <w:ilvl w:val="0"/>
          <w:numId w:val="2"/>
        </w:numPr>
        <w:ind w:firstLine="560" w:firstLineChars="200"/>
        <w:rPr>
          <w:rFonts w:ascii="仿宋" w:hAnsi="仿宋" w:eastAsia="仿宋" w:cs="仿宋_GB2312"/>
          <w:b/>
          <w:bCs/>
          <w:w w:val="90"/>
          <w:sz w:val="28"/>
          <w:szCs w:val="28"/>
        </w:rPr>
      </w:pPr>
      <w:r>
        <w:rPr>
          <w:rFonts w:hint="eastAsia" w:ascii="仿宋_GB2312" w:hAnsi="仿宋_GB2312" w:eastAsia="仿宋_GB2312" w:cs="仿宋_GB2312"/>
          <w:sz w:val="28"/>
          <w:szCs w:val="28"/>
        </w:rPr>
        <w:t>继续加强中心的信息化建设，为教师教学和学生自主学习提供高效的实践教学互动平台。</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1.文中内容与后面示范中心数据相对应，必须客观真实，避免使用“国内领先”“国际一流”等词。</w:t>
      </w:r>
    </w:p>
    <w:p>
      <w:pPr>
        <w:ind w:firstLine="560" w:firstLineChars="200"/>
        <w:rPr>
          <w:rFonts w:ascii="楷体" w:hAnsi="楷体" w:eastAsia="楷体" w:cs="仿宋_GB2312"/>
          <w:color w:val="44546A" w:themeColor="text2"/>
          <w:sz w:val="28"/>
          <w:szCs w:val="28"/>
        </w:rPr>
      </w:pPr>
      <w:r>
        <w:rPr>
          <w:rFonts w:hint="eastAsia" w:ascii="楷体" w:hAnsi="楷体" w:eastAsia="楷体" w:cs="仿宋_GB2312"/>
          <w:color w:val="44546A" w:themeColor="text2"/>
          <w:sz w:val="28"/>
          <w:szCs w:val="28"/>
        </w:rPr>
        <w:t>2.文中介绍的成果必须带有</w:t>
      </w:r>
      <w:r>
        <w:rPr>
          <w:rFonts w:hint="eastAsia" w:ascii="楷体" w:hAnsi="楷体" w:eastAsia="楷体" w:cs="仿宋_GB2312"/>
          <w:color w:val="FF0000"/>
          <w:sz w:val="28"/>
          <w:szCs w:val="28"/>
        </w:rPr>
        <w:t>示范中心成员</w:t>
      </w:r>
      <w:r>
        <w:rPr>
          <w:rFonts w:hint="eastAsia" w:ascii="楷体" w:hAnsi="楷体" w:eastAsia="楷体" w:cs="仿宋_GB2312"/>
          <w:color w:val="44546A" w:themeColor="text2"/>
          <w:sz w:val="28"/>
          <w:szCs w:val="28"/>
        </w:rPr>
        <w:t>的署名。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p>
    <w:p>
      <w:pPr>
        <w:ind w:firstLine="560" w:firstLineChars="200"/>
        <w:rPr>
          <w:rFonts w:ascii="楷体" w:hAnsi="楷体" w:eastAsia="楷体" w:cs="仿宋_GB2312"/>
          <w:color w:val="FF0000"/>
          <w:sz w:val="28"/>
          <w:szCs w:val="28"/>
        </w:rPr>
      </w:pPr>
      <w:r>
        <w:rPr>
          <w:rFonts w:ascii="楷体" w:eastAsia="楷体" w:cs="楷体"/>
          <w:color w:val="FF0000"/>
          <w:kern w:val="0"/>
          <w:sz w:val="28"/>
          <w:szCs w:val="28"/>
          <w:lang w:val="zh-CN"/>
        </w:rPr>
        <w:t>4.</w:t>
      </w:r>
      <w:r>
        <w:rPr>
          <w:rFonts w:hint="eastAsia" w:ascii="楷体" w:hAnsi="楷体" w:eastAsia="楷体" w:cs="仿宋_GB2312"/>
          <w:color w:val="FF0000"/>
          <w:sz w:val="28"/>
          <w:szCs w:val="28"/>
        </w:rPr>
        <w:t>模板中涂红色部分较上年度有变化，请填写时注意。</w:t>
      </w:r>
    </w:p>
    <w:p>
      <w:pPr>
        <w:jc w:val="center"/>
        <w:rPr>
          <w:rFonts w:ascii="黑体" w:hAnsi="黑体" w:eastAsia="黑体"/>
          <w:b/>
          <w:bCs/>
          <w:w w:val="90"/>
          <w:sz w:val="32"/>
          <w:szCs w:val="32"/>
        </w:rPr>
      </w:pPr>
      <w:r>
        <w:rPr>
          <w:rFonts w:hint="eastAsia" w:ascii="黑体" w:hAnsi="黑体" w:eastAsia="黑体" w:cs="仿宋_GB2312"/>
          <w:b/>
          <w:bCs/>
          <w:w w:val="90"/>
          <w:sz w:val="32"/>
          <w:szCs w:val="32"/>
        </w:rPr>
        <w:t>第二部分</w:t>
      </w:r>
      <w:r>
        <w:rPr>
          <w:rFonts w:hint="eastAsia" w:ascii="黑体" w:hAnsi="黑体" w:eastAsia="黑体"/>
          <w:b/>
          <w:bCs/>
          <w:w w:val="90"/>
          <w:sz w:val="32"/>
          <w:szCs w:val="32"/>
        </w:rPr>
        <w:t xml:space="preserve"> 示范中心数据</w:t>
      </w:r>
    </w:p>
    <w:p>
      <w:pPr>
        <w:jc w:val="center"/>
        <w:rPr>
          <w:rFonts w:ascii="楷体" w:hAnsi="楷体" w:eastAsia="楷体" w:cs="仿宋_GB2312"/>
          <w:b/>
          <w:bCs/>
          <w:w w:val="90"/>
          <w:sz w:val="28"/>
          <w:szCs w:val="28"/>
        </w:rPr>
      </w:pPr>
      <w:r>
        <w:rPr>
          <w:rFonts w:hint="eastAsia" w:ascii="楷体" w:hAnsi="楷体" w:eastAsia="楷体" w:cs="仿宋_GB2312"/>
          <w:b/>
          <w:bCs/>
          <w:w w:val="90"/>
          <w:sz w:val="28"/>
          <w:szCs w:val="28"/>
        </w:rPr>
        <w:t>（</w:t>
      </w:r>
      <w:r>
        <w:rPr>
          <w:rFonts w:hint="eastAsia" w:ascii="楷体" w:hAnsi="楷体" w:eastAsia="楷体" w:cs="仿宋_GB2312"/>
          <w:w w:val="90"/>
          <w:sz w:val="28"/>
          <w:szCs w:val="28"/>
        </w:rPr>
        <w:t>数据采集时间为</w:t>
      </w:r>
      <w:r>
        <w:rPr>
          <w:rFonts w:hint="eastAsia" w:ascii="楷体" w:hAnsi="楷体" w:eastAsia="楷体"/>
          <w:w w:val="90"/>
          <w:sz w:val="28"/>
          <w:szCs w:val="28"/>
        </w:rPr>
        <w:t xml:space="preserve"> 2021年1</w:t>
      </w:r>
      <w:r>
        <w:rPr>
          <w:rFonts w:hint="eastAsia" w:ascii="楷体" w:hAnsi="楷体" w:eastAsia="楷体" w:cs="仿宋_GB2312"/>
          <w:w w:val="90"/>
          <w:sz w:val="28"/>
          <w:szCs w:val="28"/>
        </w:rPr>
        <w:t>月</w:t>
      </w:r>
      <w:r>
        <w:rPr>
          <w:rFonts w:hint="eastAsia" w:ascii="楷体" w:hAnsi="楷体" w:eastAsia="楷体"/>
          <w:w w:val="90"/>
          <w:sz w:val="28"/>
          <w:szCs w:val="28"/>
        </w:rPr>
        <w:t>1</w:t>
      </w:r>
      <w:r>
        <w:rPr>
          <w:rFonts w:hint="eastAsia" w:ascii="楷体" w:hAnsi="楷体" w:eastAsia="楷体" w:cs="仿宋_GB2312"/>
          <w:w w:val="90"/>
          <w:sz w:val="28"/>
          <w:szCs w:val="28"/>
        </w:rPr>
        <w:t>日至</w:t>
      </w:r>
      <w:r>
        <w:rPr>
          <w:rFonts w:hint="eastAsia" w:ascii="楷体" w:hAnsi="楷体" w:eastAsia="楷体"/>
          <w:w w:val="90"/>
          <w:sz w:val="28"/>
          <w:szCs w:val="28"/>
        </w:rPr>
        <w:t>12</w:t>
      </w:r>
      <w:r>
        <w:rPr>
          <w:rFonts w:hint="eastAsia" w:ascii="楷体" w:hAnsi="楷体" w:eastAsia="楷体" w:cs="仿宋_GB2312"/>
          <w:w w:val="90"/>
          <w:sz w:val="28"/>
          <w:szCs w:val="28"/>
        </w:rPr>
        <w:t>月</w:t>
      </w:r>
      <w:r>
        <w:rPr>
          <w:rFonts w:hint="eastAsia" w:ascii="楷体" w:hAnsi="楷体" w:eastAsia="楷体"/>
          <w:w w:val="90"/>
          <w:sz w:val="28"/>
          <w:szCs w:val="28"/>
        </w:rPr>
        <w:t>31</w:t>
      </w:r>
      <w:r>
        <w:rPr>
          <w:rFonts w:hint="eastAsia" w:ascii="楷体" w:hAnsi="楷体" w:eastAsia="楷体" w:cs="仿宋_GB2312"/>
          <w:w w:val="90"/>
          <w:sz w:val="28"/>
          <w:szCs w:val="28"/>
        </w:rPr>
        <w:t>日</w:t>
      </w:r>
      <w:r>
        <w:rPr>
          <w:rFonts w:hint="eastAsia" w:ascii="楷体" w:hAnsi="楷体" w:eastAsia="楷体" w:cs="仿宋_GB2312"/>
          <w:b/>
          <w:bCs/>
          <w:w w:val="90"/>
          <w:sz w:val="28"/>
          <w:szCs w:val="28"/>
        </w:rPr>
        <w:t>）</w:t>
      </w:r>
    </w:p>
    <w:p>
      <w:pPr>
        <w:spacing w:before="163" w:beforeLines="50" w:after="163" w:afterLines="50"/>
        <w:ind w:firstLine="643" w:firstLineChars="200"/>
        <w:rPr>
          <w:rFonts w:ascii="黑体" w:hAnsi="黑体" w:eastAsia="黑体"/>
          <w:b/>
          <w:bCs/>
          <w:sz w:val="32"/>
          <w:szCs w:val="32"/>
        </w:rPr>
      </w:pPr>
      <w:r>
        <w:rPr>
          <w:rFonts w:hint="eastAsia" w:ascii="黑体" w:hAnsi="黑体" w:eastAsia="黑体"/>
          <w:b/>
          <w:bCs/>
          <w:sz w:val="32"/>
          <w:szCs w:val="32"/>
        </w:rPr>
        <w:t>一、示范中心基本情况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095"/>
        <w:gridCol w:w="617"/>
        <w:gridCol w:w="802"/>
        <w:gridCol w:w="281"/>
        <w:gridCol w:w="1461"/>
        <w:gridCol w:w="1420"/>
        <w:gridCol w:w="235"/>
        <w:gridCol w:w="11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76" w:type="pct"/>
            <w:gridSpan w:val="2"/>
          </w:tcPr>
          <w:p>
            <w:pPr>
              <w:jc w:val="center"/>
              <w:rPr>
                <w:rFonts w:ascii="黑体" w:hAnsi="黑体" w:eastAsia="黑体"/>
                <w:bCs/>
                <w:sz w:val="28"/>
                <w:szCs w:val="28"/>
              </w:rPr>
            </w:pPr>
            <w:r>
              <w:rPr>
                <w:rFonts w:hint="eastAsia" w:ascii="黑体" w:hAnsi="黑体" w:eastAsia="黑体"/>
                <w:bCs/>
                <w:sz w:val="28"/>
                <w:szCs w:val="28"/>
              </w:rPr>
              <w:t>示范中心名称</w:t>
            </w:r>
          </w:p>
        </w:tc>
        <w:tc>
          <w:tcPr>
            <w:tcW w:w="3524" w:type="pct"/>
            <w:gridSpan w:val="7"/>
          </w:tcPr>
          <w:p>
            <w:pPr>
              <w:rPr>
                <w:rFonts w:ascii="黑体" w:hAnsi="黑体" w:eastAsia="黑体"/>
                <w:bCs/>
                <w:sz w:val="28"/>
                <w:szCs w:val="28"/>
              </w:rPr>
            </w:pPr>
            <w:r>
              <w:rPr>
                <w:rFonts w:hint="eastAsia" w:ascii="黑体" w:hAnsi="黑体" w:eastAsia="黑体"/>
                <w:bCs/>
                <w:sz w:val="28"/>
                <w:szCs w:val="28"/>
              </w:rPr>
              <w:t>寒地作物栽培技术实验教学中心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76" w:type="pct"/>
            <w:gridSpan w:val="2"/>
          </w:tcPr>
          <w:p>
            <w:pPr>
              <w:jc w:val="center"/>
              <w:rPr>
                <w:rFonts w:ascii="黑体" w:hAnsi="黑体" w:eastAsia="黑体"/>
                <w:bCs/>
                <w:sz w:val="28"/>
                <w:szCs w:val="28"/>
              </w:rPr>
            </w:pPr>
            <w:r>
              <w:rPr>
                <w:rFonts w:hint="eastAsia" w:ascii="黑体" w:hAnsi="黑体" w:eastAsia="黑体"/>
                <w:bCs/>
                <w:sz w:val="28"/>
                <w:szCs w:val="28"/>
              </w:rPr>
              <w:t>所在学校名称</w:t>
            </w:r>
          </w:p>
        </w:tc>
        <w:tc>
          <w:tcPr>
            <w:tcW w:w="3524" w:type="pct"/>
            <w:gridSpan w:val="7"/>
          </w:tcPr>
          <w:p>
            <w:pPr>
              <w:rPr>
                <w:rFonts w:ascii="黑体" w:hAnsi="黑体" w:eastAsia="黑体"/>
                <w:bCs/>
                <w:sz w:val="28"/>
                <w:szCs w:val="28"/>
              </w:rPr>
            </w:pPr>
            <w:r>
              <w:rPr>
                <w:rFonts w:hint="eastAsia" w:ascii="黑体" w:hAnsi="黑体" w:eastAsia="黑体"/>
                <w:bCs/>
                <w:sz w:val="28"/>
                <w:szCs w:val="28"/>
              </w:rPr>
              <w:t>黑龙江八一农垦大学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76" w:type="pct"/>
            <w:gridSpan w:val="2"/>
          </w:tcPr>
          <w:p>
            <w:pPr>
              <w:jc w:val="center"/>
              <w:rPr>
                <w:rFonts w:ascii="黑体" w:hAnsi="黑体" w:eastAsia="黑体"/>
                <w:bCs/>
                <w:sz w:val="28"/>
                <w:szCs w:val="28"/>
              </w:rPr>
            </w:pPr>
            <w:r>
              <w:rPr>
                <w:rFonts w:hint="eastAsia" w:ascii="黑体" w:hAnsi="黑体" w:eastAsia="黑体"/>
                <w:bCs/>
                <w:sz w:val="28"/>
                <w:szCs w:val="28"/>
              </w:rPr>
              <w:t>主管部门名称</w:t>
            </w:r>
          </w:p>
        </w:tc>
        <w:tc>
          <w:tcPr>
            <w:tcW w:w="3524" w:type="pct"/>
            <w:gridSpan w:val="7"/>
          </w:tcPr>
          <w:p>
            <w:pPr>
              <w:rPr>
                <w:rFonts w:ascii="黑体" w:hAnsi="黑体" w:eastAsia="黑体"/>
                <w:bCs/>
                <w:sz w:val="28"/>
                <w:szCs w:val="28"/>
              </w:rPr>
            </w:pPr>
            <w:r>
              <w:rPr>
                <w:rFonts w:hint="eastAsia" w:ascii="黑体" w:hAnsi="黑体" w:eastAsia="黑体"/>
                <w:bCs/>
                <w:sz w:val="28"/>
                <w:szCs w:val="28"/>
              </w:rPr>
              <w:t>黑龙江省教育厅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76" w:type="pct"/>
            <w:gridSpan w:val="2"/>
          </w:tcPr>
          <w:p>
            <w:pPr>
              <w:jc w:val="center"/>
              <w:rPr>
                <w:rFonts w:ascii="黑体" w:hAnsi="黑体" w:eastAsia="黑体"/>
                <w:bCs/>
                <w:sz w:val="28"/>
                <w:szCs w:val="28"/>
              </w:rPr>
            </w:pPr>
            <w:r>
              <w:rPr>
                <w:rFonts w:hint="eastAsia" w:ascii="黑体" w:hAnsi="黑体" w:eastAsia="黑体"/>
                <w:bCs/>
                <w:sz w:val="28"/>
                <w:szCs w:val="28"/>
              </w:rPr>
              <w:t>示范中心门户网址</w:t>
            </w:r>
          </w:p>
        </w:tc>
        <w:tc>
          <w:tcPr>
            <w:tcW w:w="3524" w:type="pct"/>
            <w:gridSpan w:val="7"/>
            <w:vAlign w:val="center"/>
          </w:tcPr>
          <w:p>
            <w:pPr>
              <w:jc w:val="center"/>
              <w:rPr>
                <w:rFonts w:ascii="Times New Roman" w:hAnsi="Times New Roman" w:eastAsia="黑体" w:cs="Times New Roman"/>
                <w:bCs/>
                <w:sz w:val="28"/>
                <w:szCs w:val="28"/>
              </w:rPr>
            </w:pPr>
            <w:r>
              <w:rPr>
                <w:rFonts w:ascii="Times New Roman" w:hAnsi="Times New Roman" w:cs="Times New Roman"/>
              </w:rPr>
              <w:t>http://10.1.3.65/_s68/main.psp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76" w:type="pct"/>
            <w:gridSpan w:val="2"/>
          </w:tcPr>
          <w:p>
            <w:pPr>
              <w:jc w:val="center"/>
              <w:rPr>
                <w:rFonts w:ascii="黑体" w:hAnsi="黑体" w:eastAsia="黑体"/>
                <w:bCs/>
                <w:sz w:val="28"/>
                <w:szCs w:val="28"/>
              </w:rPr>
            </w:pPr>
            <w:r>
              <w:rPr>
                <w:rFonts w:hint="eastAsia" w:ascii="黑体" w:hAnsi="黑体" w:eastAsia="黑体"/>
                <w:bCs/>
                <w:sz w:val="28"/>
                <w:szCs w:val="28"/>
              </w:rPr>
              <w:t>示范中心详细地址</w:t>
            </w:r>
          </w:p>
        </w:tc>
        <w:tc>
          <w:tcPr>
            <w:tcW w:w="1856" w:type="pct"/>
            <w:gridSpan w:val="4"/>
          </w:tcPr>
          <w:p>
            <w:pPr>
              <w:rPr>
                <w:rFonts w:ascii="黑体" w:hAnsi="黑体" w:eastAsia="黑体"/>
                <w:bCs/>
                <w:sz w:val="28"/>
                <w:szCs w:val="28"/>
              </w:rPr>
            </w:pPr>
            <w:r>
              <w:rPr>
                <w:rFonts w:hint="eastAsia" w:ascii="宋体" w:hAnsi="宋体" w:eastAsia="宋体" w:cs="宋体"/>
                <w:b/>
                <w:bCs/>
                <w:szCs w:val="21"/>
              </w:rPr>
              <w:t>黑龙江省大庆市高新区新风路5号</w:t>
            </w:r>
          </w:p>
        </w:tc>
        <w:tc>
          <w:tcPr>
            <w:tcW w:w="834" w:type="pct"/>
          </w:tcPr>
          <w:p>
            <w:pPr>
              <w:jc w:val="center"/>
              <w:rPr>
                <w:rFonts w:ascii="黑体" w:hAnsi="黑体" w:eastAsia="黑体"/>
                <w:bCs/>
                <w:sz w:val="28"/>
                <w:szCs w:val="28"/>
              </w:rPr>
            </w:pPr>
            <w:r>
              <w:rPr>
                <w:rFonts w:hint="eastAsia" w:ascii="黑体" w:hAnsi="黑体" w:eastAsia="黑体"/>
                <w:bCs/>
                <w:sz w:val="28"/>
                <w:szCs w:val="28"/>
              </w:rPr>
              <w:t>邮政编码</w:t>
            </w:r>
          </w:p>
        </w:tc>
        <w:tc>
          <w:tcPr>
            <w:tcW w:w="834" w:type="pct"/>
            <w:gridSpan w:val="2"/>
          </w:tcPr>
          <w:p>
            <w:pPr>
              <w:rPr>
                <w:rFonts w:ascii="黑体" w:hAnsi="黑体" w:eastAsia="黑体"/>
                <w:bCs/>
                <w:sz w:val="28"/>
                <w:szCs w:val="28"/>
              </w:rPr>
            </w:pPr>
            <w:r>
              <w:rPr>
                <w:rFonts w:hint="eastAsia" w:ascii="黑体" w:hAnsi="黑体" w:eastAsia="黑体"/>
                <w:bCs/>
                <w:sz w:val="28"/>
                <w:szCs w:val="28"/>
              </w:rPr>
              <w:t>163319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76" w:type="pct"/>
            <w:gridSpan w:val="2"/>
          </w:tcPr>
          <w:p>
            <w:pPr>
              <w:jc w:val="center"/>
              <w:rPr>
                <w:rFonts w:ascii="黑体" w:hAnsi="黑体" w:eastAsia="黑体"/>
                <w:bCs/>
                <w:sz w:val="28"/>
                <w:szCs w:val="28"/>
              </w:rPr>
            </w:pPr>
            <w:r>
              <w:rPr>
                <w:rFonts w:hint="eastAsia" w:ascii="黑体" w:hAnsi="黑体" w:eastAsia="黑体"/>
                <w:bCs/>
                <w:sz w:val="28"/>
                <w:szCs w:val="28"/>
              </w:rPr>
              <w:t>固定资产情况</w:t>
            </w:r>
          </w:p>
        </w:tc>
        <w:tc>
          <w:tcPr>
            <w:tcW w:w="3524" w:type="pct"/>
            <w:gridSpan w:val="7"/>
          </w:tcPr>
          <w:p>
            <w:pPr>
              <w:rPr>
                <w:rFonts w:ascii="黑体" w:hAnsi="黑体" w:eastAsia="黑体"/>
                <w:bCs/>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3" w:type="pct"/>
          </w:tcPr>
          <w:p>
            <w:pPr>
              <w:rPr>
                <w:rFonts w:ascii="黑体" w:hAnsi="黑体" w:eastAsia="黑体"/>
                <w:bCs/>
                <w:sz w:val="28"/>
                <w:szCs w:val="28"/>
              </w:rPr>
            </w:pPr>
            <w:r>
              <w:rPr>
                <w:rFonts w:hint="eastAsia" w:ascii="黑体" w:hAnsi="黑体" w:eastAsia="黑体"/>
                <w:bCs/>
                <w:sz w:val="28"/>
                <w:szCs w:val="28"/>
              </w:rPr>
              <w:t>建筑面积</w:t>
            </w:r>
          </w:p>
        </w:tc>
        <w:tc>
          <w:tcPr>
            <w:tcW w:w="643" w:type="pct"/>
          </w:tcPr>
          <w:p>
            <w:pPr>
              <w:rPr>
                <w:rFonts w:ascii="楷体" w:hAnsi="楷体" w:eastAsia="楷体"/>
                <w:bCs/>
                <w:sz w:val="28"/>
                <w:szCs w:val="28"/>
              </w:rPr>
            </w:pPr>
            <w:r>
              <w:rPr>
                <w:rFonts w:hint="eastAsia" w:ascii="黑体" w:hAnsi="黑体" w:eastAsia="黑体"/>
                <w:bCs/>
                <w:sz w:val="28"/>
                <w:szCs w:val="28"/>
              </w:rPr>
              <w:t>6294</w:t>
            </w:r>
            <w:r>
              <w:rPr>
                <w:rFonts w:hint="eastAsia" w:ascii="楷体" w:hAnsi="楷体" w:eastAsia="楷体"/>
                <w:bCs/>
                <w:sz w:val="28"/>
                <w:szCs w:val="28"/>
              </w:rPr>
              <w:t>㎡</w:t>
            </w:r>
            <w:r>
              <w:rPr>
                <w:rFonts w:hint="eastAsia" w:ascii="黑体" w:hAnsi="黑体" w:eastAsia="黑体"/>
                <w:bCs/>
                <w:sz w:val="28"/>
                <w:szCs w:val="28"/>
              </w:rPr>
              <w:t xml:space="preserve"> </w:t>
            </w:r>
          </w:p>
        </w:tc>
        <w:tc>
          <w:tcPr>
            <w:tcW w:w="833" w:type="pct"/>
            <w:gridSpan w:val="2"/>
          </w:tcPr>
          <w:p>
            <w:pPr>
              <w:rPr>
                <w:rFonts w:ascii="黑体" w:hAnsi="黑体" w:eastAsia="黑体"/>
                <w:bCs/>
                <w:sz w:val="28"/>
                <w:szCs w:val="28"/>
              </w:rPr>
            </w:pPr>
            <w:r>
              <w:rPr>
                <w:rFonts w:hint="eastAsia" w:ascii="黑体" w:hAnsi="黑体" w:eastAsia="黑体"/>
                <w:bCs/>
                <w:sz w:val="28"/>
                <w:szCs w:val="28"/>
              </w:rPr>
              <w:t>设备总值</w:t>
            </w:r>
          </w:p>
        </w:tc>
        <w:tc>
          <w:tcPr>
            <w:tcW w:w="1023" w:type="pct"/>
            <w:gridSpan w:val="2"/>
          </w:tcPr>
          <w:p>
            <w:pPr>
              <w:rPr>
                <w:rFonts w:ascii="楷体" w:hAnsi="楷体" w:eastAsia="楷体"/>
                <w:bCs/>
                <w:sz w:val="28"/>
                <w:szCs w:val="28"/>
              </w:rPr>
            </w:pPr>
            <w:r>
              <w:rPr>
                <w:rFonts w:hint="eastAsia" w:ascii="黑体" w:hAnsi="黑体" w:eastAsia="黑体"/>
                <w:bCs/>
                <w:sz w:val="28"/>
                <w:szCs w:val="28"/>
              </w:rPr>
              <w:t xml:space="preserve">  4167</w:t>
            </w:r>
            <w:r>
              <w:rPr>
                <w:rFonts w:hint="eastAsia" w:ascii="楷体" w:hAnsi="楷体" w:eastAsia="楷体"/>
                <w:bCs/>
                <w:sz w:val="28"/>
                <w:szCs w:val="28"/>
              </w:rPr>
              <w:t>万元</w:t>
            </w:r>
          </w:p>
        </w:tc>
        <w:tc>
          <w:tcPr>
            <w:tcW w:w="834" w:type="pct"/>
          </w:tcPr>
          <w:p>
            <w:pPr>
              <w:rPr>
                <w:rFonts w:ascii="黑体" w:hAnsi="黑体" w:eastAsia="黑体"/>
                <w:bCs/>
                <w:sz w:val="28"/>
                <w:szCs w:val="28"/>
              </w:rPr>
            </w:pPr>
            <w:r>
              <w:rPr>
                <w:rFonts w:hint="eastAsia" w:ascii="黑体" w:hAnsi="黑体" w:eastAsia="黑体"/>
                <w:bCs/>
                <w:sz w:val="28"/>
                <w:szCs w:val="28"/>
              </w:rPr>
              <w:t>设备台数</w:t>
            </w:r>
          </w:p>
        </w:tc>
        <w:tc>
          <w:tcPr>
            <w:tcW w:w="834" w:type="pct"/>
            <w:gridSpan w:val="2"/>
          </w:tcPr>
          <w:p>
            <w:pPr>
              <w:rPr>
                <w:rFonts w:ascii="楷体" w:hAnsi="楷体" w:eastAsia="楷体"/>
                <w:bCs/>
                <w:sz w:val="28"/>
                <w:szCs w:val="28"/>
              </w:rPr>
            </w:pPr>
            <w:r>
              <w:rPr>
                <w:rFonts w:hint="eastAsia" w:ascii="楷体" w:hAnsi="楷体" w:eastAsia="楷体"/>
                <w:bCs/>
                <w:sz w:val="28"/>
                <w:szCs w:val="28"/>
              </w:rPr>
              <w:t>2454台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76" w:type="pct"/>
            <w:gridSpan w:val="2"/>
          </w:tcPr>
          <w:p>
            <w:pPr>
              <w:jc w:val="center"/>
              <w:rPr>
                <w:rFonts w:ascii="黑体" w:hAnsi="黑体" w:eastAsia="黑体"/>
                <w:bCs/>
                <w:sz w:val="28"/>
                <w:szCs w:val="28"/>
              </w:rPr>
            </w:pPr>
            <w:r>
              <w:rPr>
                <w:rFonts w:hint="eastAsia" w:ascii="黑体" w:hAnsi="黑体" w:eastAsia="黑体"/>
                <w:bCs/>
                <w:sz w:val="28"/>
                <w:szCs w:val="28"/>
              </w:rPr>
              <w:t>经费投入情况</w:t>
            </w:r>
          </w:p>
        </w:tc>
        <w:tc>
          <w:tcPr>
            <w:tcW w:w="3524" w:type="pct"/>
            <w:gridSpan w:val="7"/>
          </w:tcPr>
          <w:p>
            <w:pPr>
              <w:rPr>
                <w:rFonts w:ascii="黑体" w:hAnsi="黑体" w:eastAsia="黑体"/>
                <w:bCs/>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838" w:type="pct"/>
            <w:gridSpan w:val="3"/>
            <w:shd w:val="clear" w:color="auto" w:fill="auto"/>
            <w:vAlign w:val="center"/>
          </w:tcPr>
          <w:p>
            <w:pPr>
              <w:jc w:val="center"/>
              <w:rPr>
                <w:rFonts w:ascii="黑体" w:hAnsi="黑体" w:eastAsia="黑体"/>
                <w:bCs/>
                <w:sz w:val="28"/>
                <w:szCs w:val="28"/>
              </w:rPr>
            </w:pPr>
            <w:r>
              <w:rPr>
                <w:rFonts w:hint="eastAsia" w:ascii="黑体" w:hAnsi="黑体" w:eastAsia="黑体"/>
                <w:bCs/>
                <w:sz w:val="28"/>
                <w:szCs w:val="28"/>
              </w:rPr>
              <w:t>主管部门年度经费投入</w:t>
            </w:r>
          </w:p>
          <w:p>
            <w:pPr>
              <w:jc w:val="center"/>
              <w:rPr>
                <w:rFonts w:ascii="楷体" w:hAnsi="楷体" w:eastAsia="楷体"/>
                <w:bCs/>
              </w:rPr>
            </w:pPr>
            <w:r>
              <w:rPr>
                <w:rFonts w:hint="eastAsia" w:ascii="楷体" w:hAnsi="楷体" w:eastAsia="楷体"/>
                <w:bCs/>
              </w:rPr>
              <w:t>（直属高校不填）</w:t>
            </w:r>
          </w:p>
        </w:tc>
        <w:tc>
          <w:tcPr>
            <w:tcW w:w="636" w:type="pct"/>
            <w:gridSpan w:val="2"/>
            <w:shd w:val="clear" w:color="auto" w:fill="auto"/>
            <w:vAlign w:val="center"/>
          </w:tcPr>
          <w:p>
            <w:pPr>
              <w:rPr>
                <w:rFonts w:ascii="楷体" w:hAnsi="楷体" w:eastAsia="楷体"/>
                <w:bCs/>
                <w:sz w:val="28"/>
                <w:szCs w:val="28"/>
              </w:rPr>
            </w:pPr>
            <w:r>
              <w:rPr>
                <w:rFonts w:hint="eastAsia" w:ascii="楷体" w:hAnsi="楷体" w:eastAsia="楷体"/>
                <w:bCs/>
                <w:sz w:val="28"/>
                <w:szCs w:val="28"/>
              </w:rPr>
              <w:t>50万元</w:t>
            </w:r>
          </w:p>
        </w:tc>
        <w:tc>
          <w:tcPr>
            <w:tcW w:w="1830" w:type="pct"/>
            <w:gridSpan w:val="3"/>
            <w:vAlign w:val="center"/>
          </w:tcPr>
          <w:p>
            <w:pPr>
              <w:jc w:val="center"/>
              <w:rPr>
                <w:rFonts w:ascii="黑体" w:hAnsi="黑体" w:eastAsia="黑体"/>
                <w:bCs/>
                <w:sz w:val="28"/>
                <w:szCs w:val="28"/>
              </w:rPr>
            </w:pPr>
            <w:r>
              <w:rPr>
                <w:rFonts w:hint="eastAsia" w:ascii="黑体" w:hAnsi="黑体" w:eastAsia="黑体"/>
                <w:bCs/>
                <w:sz w:val="28"/>
                <w:szCs w:val="28"/>
              </w:rPr>
              <w:t>所在学校年度经费投入</w:t>
            </w:r>
          </w:p>
        </w:tc>
        <w:tc>
          <w:tcPr>
            <w:tcW w:w="695" w:type="pct"/>
            <w:vAlign w:val="center"/>
          </w:tcPr>
          <w:p>
            <w:pPr>
              <w:rPr>
                <w:rFonts w:ascii="楷体" w:hAnsi="楷体" w:eastAsia="楷体"/>
                <w:bCs/>
                <w:sz w:val="28"/>
                <w:szCs w:val="28"/>
              </w:rPr>
            </w:pPr>
            <w:r>
              <w:rPr>
                <w:rFonts w:hint="eastAsia" w:ascii="楷体" w:hAnsi="楷体" w:eastAsia="楷体"/>
                <w:bCs/>
                <w:sz w:val="28"/>
                <w:szCs w:val="28"/>
              </w:rPr>
              <w:t>109万元</w:t>
            </w:r>
          </w:p>
        </w:tc>
      </w:tr>
    </w:tbl>
    <w:p>
      <w:pPr>
        <w:ind w:firstLine="470" w:firstLineChars="196"/>
        <w:rPr>
          <w:rFonts w:ascii="楷体" w:hAnsi="楷体" w:eastAsia="楷体"/>
          <w:bCs/>
        </w:rPr>
      </w:pPr>
      <w:r>
        <w:rPr>
          <w:rFonts w:hint="eastAsia" w:ascii="楷体" w:hAnsi="楷体" w:eastAsia="楷体"/>
          <w:bCs/>
        </w:rPr>
        <w:t>注：（1）表中所有名称都必须填写全称。（2）主管部门：所在学校的上级主管部门，可查询教育部发展规划司全国高等学校名单。</w:t>
      </w:r>
    </w:p>
    <w:p>
      <w:pPr>
        <w:spacing w:before="163" w:beforeLines="50"/>
        <w:ind w:firstLine="630" w:firstLineChars="196"/>
        <w:rPr>
          <w:rFonts w:ascii="黑体" w:hAnsi="黑体" w:eastAsia="黑体" w:cs="仿宋_GB2312"/>
          <w:b/>
          <w:bCs/>
          <w:sz w:val="32"/>
          <w:szCs w:val="32"/>
        </w:rPr>
      </w:pPr>
      <w:r>
        <w:rPr>
          <w:rFonts w:hint="eastAsia" w:ascii="黑体" w:hAnsi="黑体" w:eastAsia="黑体" w:cs="仿宋_GB2312"/>
          <w:b/>
          <w:bCs/>
          <w:sz w:val="32"/>
          <w:szCs w:val="32"/>
        </w:rPr>
        <w:t>二、人才队伍基本情况</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bCs/>
          <w:sz w:val="28"/>
          <w:szCs w:val="28"/>
        </w:rPr>
        <w:t>（一）本年度</w:t>
      </w:r>
      <w:r>
        <w:rPr>
          <w:rFonts w:hint="eastAsia" w:ascii="黑体" w:hAnsi="黑体" w:eastAsia="黑体" w:cs="仿宋_GB2312"/>
          <w:bCs/>
          <w:sz w:val="28"/>
          <w:szCs w:val="28"/>
        </w:rPr>
        <w:t>固定人员情况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96"/>
        <w:gridCol w:w="1068"/>
        <w:gridCol w:w="794"/>
        <w:gridCol w:w="1342"/>
        <w:gridCol w:w="1068"/>
        <w:gridCol w:w="995"/>
        <w:gridCol w:w="865"/>
        <w:gridCol w:w="794"/>
        <w:gridCol w:w="7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vAlign w:val="center"/>
          </w:tcPr>
          <w:p>
            <w:pPr>
              <w:jc w:val="center"/>
              <w:rPr>
                <w:rFonts w:ascii="黑体" w:hAnsi="黑体" w:eastAsia="黑体" w:cs="宋体"/>
              </w:rPr>
            </w:pPr>
            <w:r>
              <w:rPr>
                <w:rFonts w:hint="eastAsia" w:ascii="黑体" w:hAnsi="黑体" w:eastAsia="黑体" w:cs="宋体"/>
              </w:rPr>
              <w:t>序号</w:t>
            </w:r>
          </w:p>
        </w:tc>
        <w:tc>
          <w:tcPr>
            <w:tcW w:w="627" w:type="pct"/>
            <w:vAlign w:val="center"/>
          </w:tcPr>
          <w:p>
            <w:pPr>
              <w:jc w:val="center"/>
              <w:rPr>
                <w:rFonts w:ascii="黑体" w:hAnsi="黑体" w:eastAsia="黑体" w:cs="宋体"/>
              </w:rPr>
            </w:pPr>
            <w:r>
              <w:rPr>
                <w:rFonts w:hint="eastAsia" w:ascii="黑体" w:hAnsi="黑体" w:eastAsia="黑体" w:cs="宋体"/>
              </w:rPr>
              <w:t>姓名</w:t>
            </w:r>
          </w:p>
        </w:tc>
        <w:tc>
          <w:tcPr>
            <w:tcW w:w="466" w:type="pct"/>
            <w:vAlign w:val="center"/>
          </w:tcPr>
          <w:p>
            <w:pPr>
              <w:jc w:val="center"/>
              <w:rPr>
                <w:rFonts w:ascii="黑体" w:hAnsi="黑体" w:eastAsia="黑体" w:cs="宋体"/>
              </w:rPr>
            </w:pPr>
            <w:r>
              <w:rPr>
                <w:rFonts w:hint="eastAsia" w:ascii="黑体" w:hAnsi="黑体" w:eastAsia="黑体" w:cs="宋体"/>
              </w:rPr>
              <w:t>性别</w:t>
            </w:r>
          </w:p>
        </w:tc>
        <w:tc>
          <w:tcPr>
            <w:tcW w:w="788" w:type="pct"/>
            <w:vAlign w:val="center"/>
          </w:tcPr>
          <w:p>
            <w:pPr>
              <w:jc w:val="center"/>
              <w:rPr>
                <w:rFonts w:ascii="黑体" w:hAnsi="黑体" w:eastAsia="黑体" w:cs="宋体"/>
              </w:rPr>
            </w:pPr>
            <w:r>
              <w:rPr>
                <w:rFonts w:hint="eastAsia" w:ascii="黑体" w:hAnsi="黑体" w:eastAsia="黑体" w:cs="宋体"/>
              </w:rPr>
              <w:t>出生年份</w:t>
            </w:r>
          </w:p>
        </w:tc>
        <w:tc>
          <w:tcPr>
            <w:tcW w:w="627" w:type="pct"/>
            <w:vAlign w:val="center"/>
          </w:tcPr>
          <w:p>
            <w:pPr>
              <w:jc w:val="center"/>
              <w:rPr>
                <w:rFonts w:ascii="黑体" w:hAnsi="黑体" w:eastAsia="黑体" w:cs="宋体"/>
              </w:rPr>
            </w:pPr>
            <w:r>
              <w:rPr>
                <w:rFonts w:hint="eastAsia" w:ascii="黑体" w:hAnsi="黑体" w:eastAsia="黑体" w:cs="宋体"/>
              </w:rPr>
              <w:t>职称</w:t>
            </w:r>
          </w:p>
        </w:tc>
        <w:tc>
          <w:tcPr>
            <w:tcW w:w="584" w:type="pct"/>
            <w:vAlign w:val="center"/>
          </w:tcPr>
          <w:p>
            <w:pPr>
              <w:jc w:val="center"/>
              <w:rPr>
                <w:rFonts w:ascii="黑体" w:hAnsi="黑体" w:eastAsia="黑体" w:cs="宋体"/>
              </w:rPr>
            </w:pPr>
            <w:r>
              <w:rPr>
                <w:rFonts w:hint="eastAsia" w:ascii="黑体" w:hAnsi="黑体" w:eastAsia="黑体" w:cs="宋体"/>
              </w:rPr>
              <w:t>职务</w:t>
            </w:r>
          </w:p>
        </w:tc>
        <w:tc>
          <w:tcPr>
            <w:tcW w:w="508" w:type="pct"/>
            <w:vAlign w:val="center"/>
          </w:tcPr>
          <w:p>
            <w:pPr>
              <w:jc w:val="center"/>
              <w:rPr>
                <w:rFonts w:ascii="黑体" w:hAnsi="黑体" w:eastAsia="黑体" w:cs="宋体"/>
              </w:rPr>
            </w:pPr>
            <w:r>
              <w:rPr>
                <w:rFonts w:hint="eastAsia" w:ascii="黑体" w:hAnsi="黑体" w:eastAsia="黑体" w:cs="宋体"/>
              </w:rPr>
              <w:t>工作</w:t>
            </w:r>
          </w:p>
          <w:p>
            <w:pPr>
              <w:jc w:val="center"/>
              <w:rPr>
                <w:rFonts w:ascii="黑体" w:hAnsi="黑体" w:eastAsia="黑体" w:cs="宋体"/>
              </w:rPr>
            </w:pPr>
            <w:r>
              <w:rPr>
                <w:rFonts w:hint="eastAsia" w:ascii="黑体" w:hAnsi="黑体" w:eastAsia="黑体" w:cs="宋体"/>
              </w:rPr>
              <w:t>性质</w:t>
            </w:r>
          </w:p>
        </w:tc>
        <w:tc>
          <w:tcPr>
            <w:tcW w:w="466" w:type="pct"/>
            <w:vAlign w:val="center"/>
          </w:tcPr>
          <w:p>
            <w:pPr>
              <w:jc w:val="center"/>
              <w:rPr>
                <w:rFonts w:ascii="黑体" w:hAnsi="黑体" w:eastAsia="黑体" w:cs="宋体"/>
              </w:rPr>
            </w:pPr>
            <w:r>
              <w:rPr>
                <w:rFonts w:hint="eastAsia" w:ascii="黑体" w:hAnsi="黑体" w:eastAsia="黑体" w:cs="宋体"/>
              </w:rPr>
              <w:t>学位</w:t>
            </w:r>
          </w:p>
        </w:tc>
        <w:tc>
          <w:tcPr>
            <w:tcW w:w="466" w:type="pct"/>
            <w:vAlign w:val="center"/>
          </w:tcPr>
          <w:p>
            <w:pPr>
              <w:jc w:val="center"/>
              <w:rPr>
                <w:rFonts w:ascii="黑体" w:hAnsi="黑体" w:eastAsia="黑体" w:cs="宋体"/>
              </w:rPr>
            </w:pPr>
            <w:r>
              <w:rPr>
                <w:rFonts w:hint="eastAsia" w:ascii="黑体" w:hAnsi="黑体" w:eastAsia="黑体" w:cs="宋体"/>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于立河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主任</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管理</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郭永霞</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副主任</w:t>
            </w: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管理</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张玉先</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左豫虎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杨克军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  鹏</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范文艳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杜吉到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徐晶宇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孙晓丽</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bottom"/>
          </w:tcPr>
          <w:p>
            <w:pPr>
              <w:jc w:val="center"/>
              <w:rPr>
                <w:rFonts w:ascii="Times New Roman" w:hAnsi="Times New Roman" w:eastAsia="宋体" w:cs="Times New Roman"/>
              </w:rPr>
            </w:pPr>
            <w:r>
              <w:rPr>
                <w:rFonts w:ascii="Times New Roman" w:hAnsi="Times New Roman" w:cs="Times New Roman"/>
              </w:rPr>
              <w:t>殷奎德</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梁喜龙</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郭  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孙明哲</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1990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赵长江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李红宇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高树仁</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孔祥清</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王丽艳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李海燕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姜述君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台莲梅</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贝丽霞</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张美萍</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张兴梅</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钱永德</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郭晓红</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张亚玲</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杨凤军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王洪义</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纪鹏</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盛云燕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廉华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靳亚忠</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马光恕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正高级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冯永祥</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王玉凤</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苗兴芬</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刘丽华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汪秀志</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林志伟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郑  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管理</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张海燕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韩文革</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1966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学士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金永玲</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王孟雪</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张有利</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金光辉</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焦  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薛盈文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金喜军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孙海燕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孙丽芳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1981</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张翼飞</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于  崧</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王士强</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于立红</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刘春梅</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张明聪</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贺  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张文慧</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21"/>
                <w:szCs w:val="21"/>
              </w:rPr>
            </w:pPr>
            <w:r>
              <w:rPr>
                <w:rFonts w:ascii="Times New Roman" w:hAnsi="Times New Roman" w:cs="Times New Roman"/>
                <w:sz w:val="21"/>
                <w:szCs w:val="21"/>
              </w:rPr>
              <w:t>柯希望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21"/>
                <w:szCs w:val="21"/>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王智慧</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李丹丹</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1981</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王茹华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景艳莉</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高玉刚</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于高波</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吴瑕</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刘芳</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张涛</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杨丽娟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副高级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慕庆峰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洪艳华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何淑萍</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鞠世杰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1979</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  宁</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  霞</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姜丽丽</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1982</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殷大伟</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21"/>
                <w:szCs w:val="21"/>
              </w:rPr>
            </w:pPr>
            <w:r>
              <w:rPr>
                <w:rFonts w:ascii="Times New Roman" w:hAnsi="Times New Roman" w:cs="Times New Roman"/>
                <w:sz w:val="21"/>
                <w:szCs w:val="21"/>
              </w:rPr>
              <w:t>殷丽华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21"/>
                <w:szCs w:val="21"/>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范名宇</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21"/>
                <w:szCs w:val="21"/>
              </w:rPr>
            </w:pPr>
            <w:r>
              <w:rPr>
                <w:rFonts w:ascii="Times New Roman" w:hAnsi="Times New Roman" w:cs="Times New Roman"/>
                <w:sz w:val="21"/>
                <w:szCs w:val="21"/>
              </w:rPr>
              <w:t>徐晓丹</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21"/>
                <w:szCs w:val="21"/>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付健</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周园园</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1988</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贾博为</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1990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任春元</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邓  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1990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杜艳丽</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1993</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赵强</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曹亮</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姚钦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1990</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tcPr>
          <w:p>
            <w:pPr>
              <w:rPr>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刘金彪</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刘明</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cs="Times New Roman"/>
                <w:sz w:val="18"/>
                <w:szCs w:val="18"/>
              </w:rPr>
              <w:t>专硕导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宋洁</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1985</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博士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何晓蕾</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1981</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杨德威</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1971</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刘青峰</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1976</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王彦宏</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男</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1977</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中级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教学</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8"/>
              <w:numPr>
                <w:ilvl w:val="0"/>
                <w:numId w:val="3"/>
              </w:numPr>
              <w:ind w:firstLineChars="0"/>
              <w:jc w:val="center"/>
              <w:rPr>
                <w:rFonts w:cs="宋体" w:asciiTheme="minorEastAsia" w:hAnsiTheme="minorEastAsia"/>
                <w:sz w:val="21"/>
                <w:szCs w:val="21"/>
              </w:rPr>
            </w:pP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陆磊</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女</w:t>
            </w:r>
          </w:p>
        </w:tc>
        <w:tc>
          <w:tcPr>
            <w:tcW w:w="78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1994</w:t>
            </w:r>
          </w:p>
        </w:tc>
        <w:tc>
          <w:tcPr>
            <w:tcW w:w="6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初级</w:t>
            </w:r>
          </w:p>
        </w:tc>
        <w:tc>
          <w:tcPr>
            <w:tcW w:w="58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c>
          <w:tcPr>
            <w:tcW w:w="50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技术</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r>
              <w:rPr>
                <w:rFonts w:ascii="Times New Roman" w:hAnsi="Times New Roman" w:cs="Times New Roman"/>
              </w:rPr>
              <w:t>硕士</w:t>
            </w:r>
          </w:p>
        </w:tc>
        <w:tc>
          <w:tcPr>
            <w:tcW w:w="466"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imes New Roman" w:hAnsi="Times New Roman" w:eastAsia="宋体" w:cs="Times New Roman"/>
              </w:rPr>
            </w:pPr>
          </w:p>
        </w:tc>
      </w:tr>
    </w:tbl>
    <w:p>
      <w:pPr>
        <w:spacing w:before="163" w:beforeLines="50"/>
        <w:ind w:firstLine="480" w:firstLineChars="200"/>
        <w:rPr>
          <w:rFonts w:ascii="楷体" w:hAnsi="楷体" w:eastAsia="楷体"/>
          <w:color w:val="44546A" w:themeColor="text2"/>
        </w:rPr>
      </w:pPr>
      <w:r>
        <w:rPr>
          <w:rFonts w:hint="eastAsia" w:ascii="楷体" w:hAnsi="楷体" w:eastAsia="楷体" w:cs="仿宋_GB2312"/>
          <w:bCs/>
        </w:rPr>
        <w:t>注：（1）固定人员：</w:t>
      </w:r>
      <w:r>
        <w:rPr>
          <w:rFonts w:hint="eastAsia" w:ascii="楷体" w:hAnsi="楷体" w:eastAsia="楷体" w:cs="仿宋_GB2312"/>
        </w:rPr>
        <w:t>指经过核定的属于示范中心编制的人员。（2）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w:t>
      </w:r>
      <w:r>
        <w:rPr>
          <w:rFonts w:hint="eastAsia" w:ascii="楷体" w:hAnsi="楷体" w:eastAsia="楷体" w:cs="宋体"/>
          <w:bCs/>
          <w:color w:val="44546A" w:themeColor="text2"/>
        </w:rPr>
        <w:t>作性质：</w:t>
      </w:r>
      <w:r>
        <w:rPr>
          <w:rFonts w:hint="eastAsia" w:ascii="楷体" w:hAnsi="楷体" w:eastAsia="楷体"/>
          <w:color w:val="44546A" w:themeColor="text2"/>
        </w:rPr>
        <w:t>教学、技术、管理、其他。（4）</w:t>
      </w:r>
      <w:r>
        <w:rPr>
          <w:rFonts w:ascii="楷体" w:hAnsi="楷体" w:eastAsia="楷体" w:cs="宋体"/>
          <w:bCs/>
          <w:color w:val="44546A" w:themeColor="text2"/>
        </w:rPr>
        <w:t>学位：</w:t>
      </w:r>
      <w:r>
        <w:rPr>
          <w:rFonts w:ascii="楷体" w:hAnsi="楷体" w:eastAsia="楷体"/>
          <w:color w:val="44546A" w:themeColor="text2"/>
        </w:rPr>
        <w:t>博士、硕士、学士、其</w:t>
      </w:r>
      <w:r>
        <w:rPr>
          <w:rFonts w:hint="eastAsia" w:ascii="楷体" w:hAnsi="楷体" w:eastAsia="楷体"/>
          <w:color w:val="44546A" w:themeColor="text2"/>
        </w:rPr>
        <w:t>他</w:t>
      </w:r>
      <w:r>
        <w:rPr>
          <w:rFonts w:ascii="楷体" w:hAnsi="楷体" w:eastAsia="楷体"/>
          <w:color w:val="44546A" w:themeColor="text2"/>
        </w:rPr>
        <w:t>，一般以学位证书为准</w:t>
      </w:r>
      <w:r>
        <w:rPr>
          <w:rFonts w:hint="eastAsia" w:ascii="楷体" w:hAnsi="楷体" w:eastAsia="楷体"/>
          <w:color w:val="44546A" w:themeColor="text2"/>
        </w:rPr>
        <w:t>。（5）</w:t>
      </w:r>
      <w:r>
        <w:rPr>
          <w:rFonts w:hint="eastAsia" w:ascii="楷体" w:hAnsi="楷体" w:eastAsia="楷体"/>
          <w:bCs/>
          <w:color w:val="44546A" w:themeColor="text2"/>
        </w:rPr>
        <w:t>备注：</w:t>
      </w:r>
      <w:r>
        <w:rPr>
          <w:rFonts w:hint="eastAsia" w:ascii="楷体" w:hAnsi="楷体" w:eastAsia="楷体"/>
          <w:color w:val="44546A" w:themeColor="text2"/>
        </w:rPr>
        <w:t>是否院士、博士生导师、杰出青年基金获得者、长江学者等，获得时间。</w:t>
      </w:r>
    </w:p>
    <w:p>
      <w:pPr>
        <w:spacing w:before="163" w:beforeLines="50" w:after="163" w:afterLines="50"/>
        <w:ind w:firstLine="560" w:firstLineChars="200"/>
        <w:rPr>
          <w:rFonts w:ascii="黑体" w:hAnsi="黑体" w:eastAsia="黑体" w:cs="仿宋_GB2312"/>
          <w:bCs/>
          <w:color w:val="FF0000"/>
          <w:sz w:val="28"/>
          <w:szCs w:val="28"/>
        </w:rPr>
      </w:pPr>
      <w:r>
        <w:rPr>
          <w:rFonts w:hint="eastAsia" w:ascii="黑体" w:hAnsi="黑体" w:eastAsia="黑体"/>
          <w:bCs/>
          <w:color w:val="FF0000"/>
          <w:sz w:val="28"/>
          <w:szCs w:val="28"/>
        </w:rPr>
        <w:t>（二）本年度</w:t>
      </w:r>
      <w:r>
        <w:rPr>
          <w:rFonts w:hint="eastAsia" w:ascii="黑体" w:hAnsi="黑体" w:eastAsia="黑体" w:cs="仿宋_GB2312"/>
          <w:bCs/>
          <w:color w:val="FF0000"/>
          <w:sz w:val="28"/>
          <w:szCs w:val="28"/>
        </w:rPr>
        <w:t>兼职人员情况</w:t>
      </w:r>
    </w:p>
    <w:tbl>
      <w:tblPr>
        <w:tblStyle w:val="7"/>
        <w:tblW w:w="8364" w:type="dxa"/>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920"/>
        <w:gridCol w:w="763"/>
        <w:gridCol w:w="1250"/>
        <w:gridCol w:w="862"/>
        <w:gridCol w:w="741"/>
        <w:gridCol w:w="1276"/>
        <w:gridCol w:w="850"/>
        <w:gridCol w:w="993"/>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92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763"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125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862"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7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工作性质</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学位</w:t>
            </w:r>
          </w:p>
        </w:tc>
        <w:tc>
          <w:tcPr>
            <w:tcW w:w="993" w:type="dxa"/>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1</w:t>
            </w:r>
          </w:p>
        </w:tc>
        <w:tc>
          <w:tcPr>
            <w:tcW w:w="9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陈温福</w:t>
            </w:r>
          </w:p>
        </w:tc>
        <w:tc>
          <w:tcPr>
            <w:tcW w:w="76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男</w:t>
            </w:r>
          </w:p>
        </w:tc>
        <w:tc>
          <w:tcPr>
            <w:tcW w:w="125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1955</w:t>
            </w:r>
          </w:p>
        </w:tc>
        <w:tc>
          <w:tcPr>
            <w:tcW w:w="86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教授</w:t>
            </w:r>
          </w:p>
        </w:tc>
        <w:tc>
          <w:tcPr>
            <w:tcW w:w="74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博士</w:t>
            </w:r>
          </w:p>
        </w:tc>
        <w:tc>
          <w:tcPr>
            <w:tcW w:w="993"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院士</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2</w:t>
            </w:r>
          </w:p>
        </w:tc>
        <w:tc>
          <w:tcPr>
            <w:tcW w:w="9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朱延明</w:t>
            </w:r>
          </w:p>
        </w:tc>
        <w:tc>
          <w:tcPr>
            <w:tcW w:w="76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男</w:t>
            </w:r>
          </w:p>
        </w:tc>
        <w:tc>
          <w:tcPr>
            <w:tcW w:w="125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1955</w:t>
            </w:r>
          </w:p>
        </w:tc>
        <w:tc>
          <w:tcPr>
            <w:tcW w:w="86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教授</w:t>
            </w:r>
          </w:p>
        </w:tc>
        <w:tc>
          <w:tcPr>
            <w:tcW w:w="74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技术</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博士</w:t>
            </w:r>
          </w:p>
        </w:tc>
        <w:tc>
          <w:tcPr>
            <w:tcW w:w="993"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 w:val="21"/>
                <w:szCs w:val="21"/>
              </w:rPr>
              <w:t>王震特聘教授</w:t>
            </w:r>
          </w:p>
        </w:tc>
      </w:tr>
    </w:tbl>
    <w:p>
      <w:pPr>
        <w:spacing w:before="163" w:beforeLines="50"/>
        <w:ind w:firstLine="480" w:firstLineChars="200"/>
        <w:rPr>
          <w:rFonts w:ascii="楷体" w:hAnsi="楷体" w:eastAsia="楷体"/>
          <w:color w:val="auto"/>
        </w:rPr>
      </w:pPr>
      <w:r>
        <w:rPr>
          <w:rFonts w:hint="eastAsia" w:ascii="楷体" w:hAnsi="楷体" w:eastAsia="楷体" w:cs="仿宋_GB2312"/>
          <w:bCs/>
          <w:color w:val="auto"/>
        </w:rPr>
        <w:t>注：（1）兼职人员：</w:t>
      </w:r>
      <w:r>
        <w:rPr>
          <w:rFonts w:hint="eastAsia" w:ascii="楷体" w:hAnsi="楷体" w:eastAsia="楷体" w:cs="仿宋_GB2312"/>
          <w:color w:val="auto"/>
        </w:rPr>
        <w:t>指在</w:t>
      </w:r>
      <w:bookmarkStart w:id="104" w:name="_GoBack"/>
      <w:bookmarkEnd w:id="104"/>
      <w:r>
        <w:rPr>
          <w:rFonts w:hint="eastAsia" w:ascii="楷体" w:hAnsi="楷体" w:eastAsia="楷体" w:cs="仿宋_GB2312"/>
          <w:color w:val="auto"/>
        </w:rPr>
        <w:t>示范中心内承担教学、技术、管理工作的非中心编制人员。</w:t>
      </w:r>
      <w:r>
        <w:rPr>
          <w:rFonts w:hint="eastAsia" w:ascii="楷体" w:hAnsi="楷体" w:eastAsia="楷体"/>
          <w:color w:val="auto"/>
        </w:rPr>
        <w:t>（2）</w:t>
      </w:r>
      <w:r>
        <w:rPr>
          <w:rFonts w:hint="eastAsia" w:ascii="楷体" w:hAnsi="楷体" w:eastAsia="楷体" w:cs="宋体"/>
          <w:bCs/>
          <w:color w:val="auto"/>
        </w:rPr>
        <w:t>工作性质：</w:t>
      </w:r>
      <w:r>
        <w:rPr>
          <w:rFonts w:hint="eastAsia" w:ascii="楷体" w:hAnsi="楷体" w:eastAsia="楷体" w:cs="仿宋_GB2312"/>
          <w:bCs/>
          <w:color w:val="auto"/>
        </w:rPr>
        <w:t>教学、技术、管理、其他。</w:t>
      </w:r>
      <w:r>
        <w:rPr>
          <w:rFonts w:hint="eastAsia" w:ascii="楷体" w:hAnsi="楷体" w:eastAsia="楷体"/>
          <w:color w:val="auto"/>
        </w:rPr>
        <w:t>（3）</w:t>
      </w:r>
      <w:r>
        <w:rPr>
          <w:rFonts w:ascii="楷体" w:hAnsi="楷体" w:eastAsia="楷体" w:cs="宋体"/>
          <w:bCs/>
          <w:color w:val="auto"/>
        </w:rPr>
        <w:t>学位：</w:t>
      </w:r>
      <w:r>
        <w:rPr>
          <w:rFonts w:ascii="楷体" w:hAnsi="楷体" w:eastAsia="楷体"/>
          <w:color w:val="auto"/>
        </w:rPr>
        <w:t>博士、硕士、学士、其</w:t>
      </w:r>
      <w:r>
        <w:rPr>
          <w:rFonts w:hint="eastAsia" w:ascii="楷体" w:hAnsi="楷体" w:eastAsia="楷体"/>
          <w:color w:val="auto"/>
        </w:rPr>
        <w:t>他</w:t>
      </w:r>
      <w:r>
        <w:rPr>
          <w:rFonts w:ascii="楷体" w:hAnsi="楷体" w:eastAsia="楷体"/>
          <w:color w:val="auto"/>
        </w:rPr>
        <w:t>，一般以学位证书为准</w:t>
      </w:r>
      <w:r>
        <w:rPr>
          <w:rFonts w:hint="eastAsia" w:ascii="楷体" w:hAnsi="楷体" w:eastAsia="楷体"/>
          <w:color w:val="auto"/>
        </w:rPr>
        <w:t>。（4）</w:t>
      </w:r>
      <w:r>
        <w:rPr>
          <w:rFonts w:hint="eastAsia" w:ascii="楷体" w:hAnsi="楷体" w:eastAsia="楷体"/>
          <w:bCs/>
          <w:color w:val="auto"/>
        </w:rPr>
        <w:t>备注：</w:t>
      </w:r>
      <w:r>
        <w:rPr>
          <w:rFonts w:hint="eastAsia" w:ascii="楷体" w:hAnsi="楷体" w:eastAsia="楷体"/>
          <w:color w:val="auto"/>
        </w:rPr>
        <w:t>是否院士、博士生导师、杰出青年基金获得者、长江学者等，获得时间。</w:t>
      </w:r>
    </w:p>
    <w:p>
      <w:pPr>
        <w:spacing w:before="163" w:beforeLines="50" w:after="163" w:afterLines="50"/>
        <w:ind w:firstLine="560" w:firstLineChars="200"/>
        <w:rPr>
          <w:rFonts w:ascii="黑体" w:hAnsi="黑体" w:eastAsia="黑体"/>
          <w:color w:val="44546A" w:themeColor="text2"/>
          <w:sz w:val="28"/>
          <w:szCs w:val="28"/>
        </w:rPr>
      </w:pPr>
      <w:r>
        <w:rPr>
          <w:rFonts w:hint="eastAsia" w:ascii="黑体" w:hAnsi="黑体" w:eastAsia="黑体"/>
          <w:color w:val="44546A" w:themeColor="text2"/>
          <w:sz w:val="28"/>
          <w:szCs w:val="28"/>
        </w:rPr>
        <w:t>（三）本年度流动人员情况</w:t>
      </w:r>
    </w:p>
    <w:tbl>
      <w:tblPr>
        <w:tblStyle w:val="7"/>
        <w:tblW w:w="5000"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769"/>
        <w:gridCol w:w="770"/>
        <w:gridCol w:w="1300"/>
        <w:gridCol w:w="770"/>
        <w:gridCol w:w="770"/>
        <w:gridCol w:w="1300"/>
        <w:gridCol w:w="770"/>
        <w:gridCol w:w="1298"/>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76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76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452"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76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ascii="仿宋" w:hAnsi="仿宋" w:eastAsia="仿宋"/>
                <w:sz w:val="28"/>
                <w:szCs w:val="28"/>
              </w:rPr>
              <w:t>…</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color w:val="FF0000"/>
        </w:rPr>
        <w:t>注：（1）流动人员：指在中心进修学习、做访问学者、</w:t>
      </w:r>
      <w:r>
        <w:rPr>
          <w:rFonts w:ascii="楷体" w:hAnsi="楷体" w:eastAsia="楷体"/>
          <w:color w:val="FF0000"/>
        </w:rPr>
        <w:t>行业企业人员、海内外合作教学人员等。</w:t>
      </w:r>
      <w:r>
        <w:rPr>
          <w:rFonts w:hint="eastAsia" w:ascii="楷体" w:hAnsi="楷体" w:eastAsia="楷体"/>
        </w:rPr>
        <w:t>（2）工作期限：在示范中心工作的协议起止时间。</w:t>
      </w:r>
    </w:p>
    <w:p>
      <w:pPr>
        <w:spacing w:before="163" w:beforeLines="50" w:after="163" w:afterLines="50"/>
        <w:ind w:firstLine="560" w:firstLineChars="200"/>
        <w:rPr>
          <w:rFonts w:ascii="黑体" w:hAnsi="黑体" w:eastAsia="黑体" w:cs="仿宋_GB2312"/>
          <w:bCs/>
          <w:color w:val="FF0000"/>
          <w:sz w:val="28"/>
          <w:szCs w:val="28"/>
        </w:rPr>
      </w:pPr>
      <w:r>
        <w:rPr>
          <w:rFonts w:hint="eastAsia" w:ascii="黑体" w:hAnsi="黑体" w:eastAsia="黑体"/>
          <w:sz w:val="28"/>
          <w:szCs w:val="28"/>
        </w:rPr>
        <w:t>（四）本年度</w:t>
      </w:r>
      <w:r>
        <w:rPr>
          <w:rFonts w:hint="eastAsia" w:ascii="黑体" w:hAnsi="黑体" w:eastAsia="黑体" w:cs="仿宋_GB2312"/>
          <w:bCs/>
          <w:sz w:val="28"/>
          <w:szCs w:val="28"/>
        </w:rPr>
        <w:t>教学指导委员会人员情况</w:t>
      </w:r>
    </w:p>
    <w:tbl>
      <w:tblPr>
        <w:tblStyle w:val="7"/>
        <w:tblW w:w="9495" w:type="dxa"/>
        <w:jc w:val="center"/>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8"/>
        <w:gridCol w:w="757"/>
        <w:gridCol w:w="735"/>
        <w:gridCol w:w="1230"/>
        <w:gridCol w:w="810"/>
        <w:gridCol w:w="701"/>
        <w:gridCol w:w="756"/>
        <w:gridCol w:w="1574"/>
        <w:gridCol w:w="971"/>
        <w:gridCol w:w="1253"/>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1</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Cs/>
                <w:kern w:val="2"/>
                <w:sz w:val="18"/>
                <w:szCs w:val="18"/>
                <w:lang w:val="en-US" w:eastAsia="zh-CN" w:bidi="ar-SA"/>
              </w:rPr>
            </w:pPr>
            <w:r>
              <w:rPr>
                <w:rFonts w:hint="eastAsia" w:ascii="宋体" w:hAnsi="宋体" w:eastAsia="宋体" w:cs="宋体"/>
                <w:bCs/>
                <w:sz w:val="18"/>
                <w:szCs w:val="18"/>
              </w:rPr>
              <w:t>张林</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1981.03</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主任</w:t>
            </w:r>
          </w:p>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rFonts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东北农业大学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kern w:val="2"/>
                <w:sz w:val="18"/>
                <w:szCs w:val="18"/>
                <w:lang w:val="en-US" w:eastAsia="zh-CN" w:bidi="ar-SA"/>
              </w:rPr>
            </w:pPr>
            <w:r>
              <w:rPr>
                <w:rFonts w:hint="eastAsia" w:ascii="宋体" w:hAnsi="宋体" w:eastAsia="宋体" w:cs="宋体"/>
                <w:bCs/>
                <w:sz w:val="18"/>
                <w:szCs w:val="18"/>
              </w:rPr>
              <w:t>高强</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1966.11</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吉林农</w:t>
            </w:r>
            <w:r>
              <w:rPr>
                <w:rFonts w:hint="eastAsia" w:ascii="宋体" w:hAnsi="宋体" w:eastAsia="宋体" w:cs="宋体"/>
                <w:sz w:val="18"/>
                <w:szCs w:val="18"/>
                <w:lang w:eastAsia="zh-CN"/>
              </w:rPr>
              <w:t>业大学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heme="minorHAnsi" w:hAnsiTheme="minorHAnsi" w:eastAsiaTheme="minorEastAsia" w:cstheme="minorBidi"/>
                <w:kern w:val="2"/>
                <w:sz w:val="18"/>
                <w:szCs w:val="18"/>
                <w:lang w:val="en-US" w:eastAsia="zh-CN" w:bidi="ar-SA"/>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3</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原向阳</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1981.07</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山西农业大学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Cs/>
                <w:sz w:val="18"/>
                <w:szCs w:val="18"/>
              </w:rPr>
            </w:pPr>
            <w:r>
              <w:rPr>
                <w:rFonts w:hint="eastAsia" w:ascii="宋体" w:hAnsi="宋体" w:eastAsia="宋体" w:cs="宋体"/>
                <w:bCs/>
                <w:sz w:val="18"/>
                <w:szCs w:val="18"/>
              </w:rPr>
              <w:t>路运才</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1969.06</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黑龙江大学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sz w:val="18"/>
                <w:szCs w:val="18"/>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5</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Cs/>
                <w:sz w:val="18"/>
                <w:szCs w:val="18"/>
              </w:rPr>
            </w:pPr>
            <w:r>
              <w:rPr>
                <w:rFonts w:hint="eastAsia" w:ascii="宋体" w:hAnsi="宋体" w:eastAsia="宋体" w:cs="宋体"/>
                <w:bCs/>
                <w:sz w:val="18"/>
                <w:szCs w:val="18"/>
              </w:rPr>
              <w:t>陈长卿</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1978.10</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18"/>
                <w:szCs w:val="18"/>
              </w:rPr>
            </w:pPr>
            <w:r>
              <w:rPr>
                <w:rFonts w:hint="eastAsia" w:ascii="宋体" w:hAnsi="宋体" w:eastAsia="宋体" w:cs="宋体"/>
                <w:sz w:val="18"/>
                <w:szCs w:val="18"/>
              </w:rPr>
              <w:t>吉林农</w:t>
            </w:r>
            <w:r>
              <w:rPr>
                <w:rFonts w:hint="eastAsia" w:ascii="宋体" w:hAnsi="宋体" w:eastAsia="宋体" w:cs="宋体"/>
                <w:sz w:val="18"/>
                <w:szCs w:val="18"/>
                <w:lang w:eastAsia="zh-CN"/>
              </w:rPr>
              <w:t>业大学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sz w:val="18"/>
                <w:szCs w:val="18"/>
              </w:rPr>
            </w:pPr>
            <w:r>
              <w:rPr>
                <w:rFonts w:hint="eastAsia" w:ascii="宋体" w:hAnsi="宋体" w:eastAsia="宋体" w:cs="宋体"/>
                <w:sz w:val="18"/>
                <w:szCs w:val="18"/>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6</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sz w:val="18"/>
                <w:szCs w:val="18"/>
                <w:lang w:eastAsia="zh-CN"/>
              </w:rPr>
            </w:pPr>
            <w:r>
              <w:rPr>
                <w:rFonts w:hint="eastAsia" w:ascii="宋体" w:hAnsi="宋体" w:eastAsia="宋体" w:cs="宋体"/>
                <w:bCs/>
                <w:sz w:val="18"/>
                <w:szCs w:val="18"/>
                <w:lang w:eastAsia="zh-CN"/>
              </w:rPr>
              <w:t>刘辉</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Theme="minorEastAsia"/>
                <w:sz w:val="18"/>
                <w:szCs w:val="18"/>
                <w:lang w:eastAsia="zh-CN"/>
              </w:rPr>
            </w:pPr>
            <w:r>
              <w:rPr>
                <w:rFonts w:hint="eastAsia"/>
                <w:sz w:val="18"/>
                <w:szCs w:val="18"/>
                <w:lang w:eastAsia="zh-CN"/>
              </w:rPr>
              <w:t>男</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1971.04</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Theme="minorEastAsia"/>
                <w:sz w:val="18"/>
                <w:szCs w:val="18"/>
                <w:lang w:eastAsia="zh-CN"/>
              </w:rPr>
            </w:pPr>
            <w:r>
              <w:rPr>
                <w:rFonts w:hint="eastAsia"/>
                <w:sz w:val="18"/>
                <w:szCs w:val="18"/>
                <w:lang w:eastAsia="zh-CN"/>
              </w:rPr>
              <w:t>研究员</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北大荒垦丰种业股份有限公司</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hint="eastAsia" w:eastAsiaTheme="minorEastAsia"/>
                <w:sz w:val="18"/>
                <w:szCs w:val="18"/>
                <w:lang w:eastAsia="zh-CN"/>
              </w:rPr>
            </w:pPr>
            <w:r>
              <w:rPr>
                <w:rFonts w:hint="eastAsia"/>
                <w:sz w:val="18"/>
                <w:szCs w:val="18"/>
                <w:lang w:eastAsia="zh-CN"/>
              </w:rPr>
              <w:t>校外专家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sz w:val="18"/>
                <w:szCs w:val="18"/>
              </w:rPr>
            </w:pPr>
            <w:r>
              <w:rPr>
                <w:rFonts w:hint="eastAsia" w:ascii="宋体" w:hAnsi="宋体" w:eastAsia="宋体" w:cs="宋体"/>
                <w:sz w:val="18"/>
                <w:szCs w:val="18"/>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7</w:t>
            </w:r>
          </w:p>
        </w:tc>
        <w:tc>
          <w:tcPr>
            <w:tcW w:w="75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bCs/>
                <w:sz w:val="18"/>
                <w:szCs w:val="18"/>
              </w:rPr>
              <w:t>郭永霞</w:t>
            </w:r>
          </w:p>
        </w:tc>
        <w:tc>
          <w:tcPr>
            <w:tcW w:w="7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女</w:t>
            </w:r>
          </w:p>
        </w:tc>
        <w:tc>
          <w:tcPr>
            <w:tcW w:w="12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1970.08</w:t>
            </w:r>
          </w:p>
        </w:tc>
        <w:tc>
          <w:tcPr>
            <w:tcW w:w="81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教授</w:t>
            </w:r>
          </w:p>
        </w:tc>
        <w:tc>
          <w:tcPr>
            <w:tcW w:w="70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委员</w:t>
            </w:r>
          </w:p>
        </w:tc>
        <w:tc>
          <w:tcPr>
            <w:tcW w:w="75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中国</w:t>
            </w:r>
          </w:p>
        </w:tc>
        <w:tc>
          <w:tcPr>
            <w:tcW w:w="157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lang w:eastAsia="zh-CN"/>
              </w:rPr>
              <w:t>黑龙江八一农垦大学</w:t>
            </w:r>
          </w:p>
        </w:tc>
        <w:tc>
          <w:tcPr>
            <w:tcW w:w="971" w:type="dxa"/>
            <w:tcBorders>
              <w:top w:val="single" w:color="auto" w:sz="6" w:space="0"/>
              <w:left w:val="single" w:color="auto" w:sz="4" w:space="0"/>
              <w:bottom w:val="single" w:color="auto" w:sz="6" w:space="0"/>
              <w:right w:val="single" w:color="auto" w:sz="4"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校内专家</w:t>
            </w:r>
          </w:p>
        </w:tc>
        <w:tc>
          <w:tcPr>
            <w:tcW w:w="1253"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eastAsia="宋体" w:cs="宋体"/>
                <w:kern w:val="2"/>
                <w:sz w:val="18"/>
                <w:szCs w:val="18"/>
                <w:lang w:val="en-US" w:eastAsia="zh-CN" w:bidi="ar-SA"/>
              </w:rPr>
            </w:pPr>
            <w:r>
              <w:rPr>
                <w:rFonts w:hint="eastAsia" w:ascii="宋体" w:hAnsi="宋体" w:eastAsia="宋体" w:cs="宋体"/>
                <w:sz w:val="18"/>
                <w:szCs w:val="18"/>
              </w:rPr>
              <w:t>1</w:t>
            </w:r>
          </w:p>
        </w:tc>
      </w:tr>
    </w:tbl>
    <w:p>
      <w:pPr>
        <w:spacing w:before="163" w:beforeLines="50"/>
        <w:ind w:firstLine="480" w:firstLineChars="200"/>
        <w:rPr>
          <w:rFonts w:ascii="楷体" w:hAnsi="楷体" w:eastAsia="楷体" w:cs="仿宋_GB2312"/>
          <w:bCs/>
        </w:rPr>
      </w:pPr>
      <w:r>
        <w:rPr>
          <w:rFonts w:hint="eastAsia" w:ascii="楷体" w:hAnsi="楷体" w:eastAsia="楷体" w:cs="仿宋_GB2312"/>
          <w:bCs/>
        </w:rPr>
        <w:t>注：（1）教学指导委员会类型包括校内专家、外校专家、企业专家和外籍专家。（2）职务：包括主任委员和委员两类。（3）参会次数：年度内参加教学指导委员会会议的次数。</w:t>
      </w:r>
    </w:p>
    <w:p>
      <w:pPr>
        <w:ind w:firstLine="643" w:firstLineChars="200"/>
        <w:rPr>
          <w:rFonts w:ascii="黑体" w:hAnsi="黑体" w:eastAsia="黑体"/>
          <w:b/>
          <w:bCs/>
          <w:sz w:val="32"/>
          <w:szCs w:val="32"/>
        </w:rPr>
      </w:pPr>
      <w:r>
        <w:rPr>
          <w:rFonts w:hint="eastAsia" w:ascii="黑体" w:hAnsi="黑体" w:eastAsia="黑体"/>
          <w:b/>
          <w:bCs/>
          <w:sz w:val="32"/>
          <w:szCs w:val="32"/>
        </w:rPr>
        <w:t>三、人才培养情况</w:t>
      </w:r>
    </w:p>
    <w:p>
      <w:pPr>
        <w:spacing w:after="163" w:afterLines="50"/>
        <w:ind w:firstLine="560" w:firstLineChars="200"/>
        <w:rPr>
          <w:rFonts w:ascii="黑体" w:hAnsi="黑体" w:eastAsia="黑体"/>
          <w:bCs/>
          <w:sz w:val="28"/>
          <w:szCs w:val="28"/>
        </w:rPr>
      </w:pPr>
      <w:r>
        <w:rPr>
          <w:rFonts w:hint="eastAsia" w:ascii="黑体" w:hAnsi="黑体" w:eastAsia="黑体"/>
          <w:bCs/>
          <w:sz w:val="28"/>
          <w:szCs w:val="28"/>
        </w:rPr>
        <w:t>（一）示范中心实验教学面向所在学校专业及学生情况</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555"/>
        <w:gridCol w:w="1707"/>
        <w:gridCol w:w="1782"/>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8" w:type="pct"/>
            <w:vMerge w:val="restart"/>
          </w:tcPr>
          <w:p>
            <w:pPr>
              <w:widowControl/>
              <w:jc w:val="center"/>
              <w:rPr>
                <w:rFonts w:ascii="黑体" w:hAnsi="黑体" w:eastAsia="黑体" w:cs="宋体"/>
                <w:color w:val="000000"/>
                <w:kern w:val="0"/>
              </w:rPr>
            </w:pPr>
            <w:r>
              <w:rPr>
                <w:rFonts w:hint="eastAsia" w:ascii="黑体" w:hAnsi="黑体" w:eastAsia="黑体" w:cs="宋体"/>
                <w:color w:val="000000"/>
                <w:kern w:val="0"/>
              </w:rPr>
              <w:t>序号</w:t>
            </w:r>
          </w:p>
        </w:tc>
        <w:tc>
          <w:tcPr>
            <w:tcW w:w="2502" w:type="pct"/>
            <w:gridSpan w:val="2"/>
            <w:shd w:val="clear" w:color="auto" w:fill="auto"/>
            <w:vAlign w:val="center"/>
          </w:tcPr>
          <w:p>
            <w:pPr>
              <w:widowControl/>
              <w:jc w:val="center"/>
              <w:rPr>
                <w:rFonts w:ascii="黑体" w:hAnsi="黑体" w:eastAsia="黑体" w:cs="宋体"/>
                <w:color w:val="000000"/>
                <w:kern w:val="0"/>
              </w:rPr>
            </w:pPr>
            <w:r>
              <w:rPr>
                <w:rFonts w:hint="eastAsia" w:ascii="黑体" w:hAnsi="黑体" w:eastAsia="黑体" w:cs="宋体"/>
                <w:color w:val="000000"/>
                <w:kern w:val="0"/>
              </w:rPr>
              <w:t>面向的专业</w:t>
            </w:r>
          </w:p>
        </w:tc>
        <w:tc>
          <w:tcPr>
            <w:tcW w:w="1046" w:type="pct"/>
            <w:vMerge w:val="restart"/>
            <w:shd w:val="clear" w:color="auto" w:fill="auto"/>
            <w:vAlign w:val="center"/>
          </w:tcPr>
          <w:p>
            <w:pPr>
              <w:widowControl/>
              <w:jc w:val="center"/>
              <w:rPr>
                <w:rFonts w:ascii="黑体" w:hAnsi="黑体" w:eastAsia="黑体" w:cs="宋体"/>
                <w:color w:val="44546A"/>
                <w:kern w:val="0"/>
              </w:rPr>
            </w:pPr>
            <w:r>
              <w:rPr>
                <w:rFonts w:hint="eastAsia" w:ascii="黑体" w:hAnsi="黑体" w:eastAsia="黑体" w:cs="宋体"/>
                <w:color w:val="44546A"/>
                <w:kern w:val="0"/>
              </w:rPr>
              <w:t>学生人数</w:t>
            </w:r>
          </w:p>
        </w:tc>
        <w:tc>
          <w:tcPr>
            <w:tcW w:w="833" w:type="pct"/>
            <w:vMerge w:val="restart"/>
            <w:shd w:val="clear" w:color="auto" w:fill="auto"/>
            <w:vAlign w:val="center"/>
          </w:tcPr>
          <w:p>
            <w:pPr>
              <w:widowControl/>
              <w:jc w:val="center"/>
              <w:rPr>
                <w:rFonts w:ascii="黑体" w:hAnsi="黑体" w:eastAsia="黑体" w:cs="宋体"/>
                <w:color w:val="44546A"/>
                <w:kern w:val="0"/>
              </w:rPr>
            </w:pPr>
            <w:r>
              <w:rPr>
                <w:rFonts w:hint="eastAsia" w:ascii="黑体" w:hAnsi="黑体" w:eastAsia="黑体" w:cs="宋体"/>
                <w:color w:val="44546A"/>
                <w:kern w:val="0"/>
              </w:rPr>
              <w:t>人时数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18" w:type="pct"/>
            <w:vMerge w:val="continue"/>
          </w:tcPr>
          <w:p>
            <w:pPr>
              <w:widowControl/>
              <w:jc w:val="center"/>
              <w:rPr>
                <w:rFonts w:ascii="黑体" w:hAnsi="黑体" w:eastAsia="黑体" w:cs="宋体"/>
                <w:color w:val="000000"/>
                <w:kern w:val="0"/>
              </w:rPr>
            </w:pPr>
          </w:p>
        </w:tc>
        <w:tc>
          <w:tcPr>
            <w:tcW w:w="1500" w:type="pct"/>
            <w:shd w:val="clear" w:color="auto" w:fill="auto"/>
            <w:vAlign w:val="center"/>
          </w:tcPr>
          <w:p>
            <w:pPr>
              <w:widowControl/>
              <w:jc w:val="center"/>
              <w:rPr>
                <w:rFonts w:ascii="黑体" w:hAnsi="黑体" w:eastAsia="黑体" w:cs="宋体"/>
                <w:color w:val="000000"/>
                <w:kern w:val="0"/>
              </w:rPr>
            </w:pPr>
            <w:r>
              <w:rPr>
                <w:rFonts w:hint="eastAsia" w:ascii="黑体" w:hAnsi="黑体" w:eastAsia="黑体" w:cs="宋体"/>
                <w:color w:val="000000"/>
                <w:kern w:val="0"/>
              </w:rPr>
              <w:t>专业名称</w:t>
            </w:r>
          </w:p>
        </w:tc>
        <w:tc>
          <w:tcPr>
            <w:tcW w:w="1002" w:type="pct"/>
            <w:shd w:val="clear" w:color="auto" w:fill="auto"/>
            <w:vAlign w:val="center"/>
          </w:tcPr>
          <w:p>
            <w:pPr>
              <w:widowControl/>
              <w:jc w:val="center"/>
              <w:rPr>
                <w:rFonts w:ascii="黑体" w:hAnsi="黑体" w:eastAsia="黑体" w:cs="宋体"/>
                <w:color w:val="000000"/>
                <w:kern w:val="0"/>
              </w:rPr>
            </w:pPr>
            <w:r>
              <w:rPr>
                <w:rFonts w:hint="eastAsia" w:ascii="黑体" w:hAnsi="黑体" w:eastAsia="黑体" w:cs="宋体"/>
                <w:color w:val="000000"/>
                <w:kern w:val="0"/>
              </w:rPr>
              <w:t>年级</w:t>
            </w:r>
          </w:p>
        </w:tc>
        <w:tc>
          <w:tcPr>
            <w:tcW w:w="1046" w:type="pct"/>
            <w:vMerge w:val="continue"/>
            <w:vAlign w:val="center"/>
          </w:tcPr>
          <w:p>
            <w:pPr>
              <w:widowControl/>
              <w:jc w:val="left"/>
              <w:rPr>
                <w:rFonts w:ascii="黑体" w:hAnsi="黑体" w:eastAsia="黑体" w:cs="宋体"/>
                <w:color w:val="44546A"/>
                <w:kern w:val="0"/>
              </w:rPr>
            </w:pPr>
          </w:p>
        </w:tc>
        <w:tc>
          <w:tcPr>
            <w:tcW w:w="833" w:type="pct"/>
            <w:vMerge w:val="continue"/>
            <w:vAlign w:val="center"/>
          </w:tcPr>
          <w:p>
            <w:pPr>
              <w:widowControl/>
              <w:jc w:val="left"/>
              <w:rPr>
                <w:rFonts w:ascii="黑体" w:hAnsi="黑体" w:eastAsia="黑体" w:cs="宋体"/>
                <w:color w:val="44546A"/>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1</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农学</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2018-2019</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308</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22392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2</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植物生产类</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2020</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330</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25806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3</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农学专升本</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2020-2021</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128</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4</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种子科学与工程</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2019</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41</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5456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5</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农学应用</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2018</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21</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6</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农学创新</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2019-2020</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49</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3704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7</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植物保护</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2018-2019</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172</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19342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8</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资源与环境</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2019-2020</w:t>
            </w:r>
          </w:p>
        </w:tc>
        <w:tc>
          <w:tcPr>
            <w:tcW w:w="1046" w:type="pct"/>
            <w:shd w:val="clear" w:color="auto" w:fill="auto"/>
            <w:noWrap/>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148</w:t>
            </w:r>
          </w:p>
        </w:tc>
        <w:tc>
          <w:tcPr>
            <w:tcW w:w="833" w:type="pct"/>
            <w:shd w:val="clear" w:color="auto" w:fill="auto"/>
            <w:noWrap/>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9</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园艺</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2019-2021</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230</w:t>
            </w:r>
          </w:p>
        </w:tc>
        <w:tc>
          <w:tcPr>
            <w:tcW w:w="833" w:type="pct"/>
            <w:shd w:val="clear" w:color="auto" w:fill="auto"/>
            <w:noWrap/>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12458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10</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园林</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2019-2021</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326</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13344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11</w:t>
            </w:r>
          </w:p>
        </w:tc>
        <w:tc>
          <w:tcPr>
            <w:tcW w:w="1500"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园艺专升本</w:t>
            </w:r>
          </w:p>
        </w:tc>
        <w:tc>
          <w:tcPr>
            <w:tcW w:w="1002"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2020-2021</w:t>
            </w:r>
          </w:p>
        </w:tc>
        <w:tc>
          <w:tcPr>
            <w:tcW w:w="1046"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70</w:t>
            </w:r>
          </w:p>
        </w:tc>
        <w:tc>
          <w:tcPr>
            <w:tcW w:w="833"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2152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12</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草业</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2020</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44</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13</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生物类</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2020</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122</w:t>
            </w:r>
          </w:p>
        </w:tc>
        <w:tc>
          <w:tcPr>
            <w:tcW w:w="833"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3660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14</w:t>
            </w:r>
          </w:p>
        </w:tc>
        <w:tc>
          <w:tcPr>
            <w:tcW w:w="1500"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设工</w:t>
            </w:r>
          </w:p>
        </w:tc>
        <w:tc>
          <w:tcPr>
            <w:tcW w:w="1002"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2019</w:t>
            </w:r>
          </w:p>
        </w:tc>
        <w:tc>
          <w:tcPr>
            <w:tcW w:w="1046"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35</w:t>
            </w:r>
          </w:p>
        </w:tc>
        <w:tc>
          <w:tcPr>
            <w:tcW w:w="833" w:type="pct"/>
            <w:shd w:val="clear" w:color="auto" w:fill="auto"/>
            <w:vAlign w:val="center"/>
          </w:tcPr>
          <w:p>
            <w:pPr>
              <w:jc w:val="left"/>
              <w:rPr>
                <w:rFonts w:ascii="Times New Roman" w:hAnsi="Times New Roman" w:eastAsia="宋体" w:cs="Times New Roman"/>
                <w:sz w:val="22"/>
                <w:szCs w:val="22"/>
              </w:rPr>
            </w:pPr>
            <w:r>
              <w:rPr>
                <w:rFonts w:ascii="Times New Roman" w:hAnsi="Times New Roman" w:cs="Times New Roman"/>
                <w:sz w:val="22"/>
                <w:szCs w:val="22"/>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8" w:type="pct"/>
            <w:vAlign w:val="center"/>
          </w:tcPr>
          <w:p>
            <w:pPr>
              <w:jc w:val="center"/>
              <w:rPr>
                <w:rFonts w:ascii="Times New Roman" w:hAnsi="Times New Roman" w:eastAsia="宋体" w:cs="Times New Roman"/>
                <w:color w:val="000000"/>
                <w:sz w:val="21"/>
                <w:szCs w:val="21"/>
              </w:rPr>
            </w:pPr>
            <w:r>
              <w:rPr>
                <w:rFonts w:ascii="Times New Roman" w:hAnsi="Times New Roman" w:cs="Times New Roman"/>
                <w:color w:val="000000"/>
                <w:sz w:val="21"/>
                <w:szCs w:val="21"/>
              </w:rPr>
              <w:t>15</w:t>
            </w:r>
          </w:p>
        </w:tc>
        <w:tc>
          <w:tcPr>
            <w:tcW w:w="1500"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环科</w:t>
            </w:r>
          </w:p>
        </w:tc>
        <w:tc>
          <w:tcPr>
            <w:tcW w:w="1002"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2018</w:t>
            </w:r>
          </w:p>
        </w:tc>
        <w:tc>
          <w:tcPr>
            <w:tcW w:w="1046"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56</w:t>
            </w:r>
          </w:p>
        </w:tc>
        <w:tc>
          <w:tcPr>
            <w:tcW w:w="833" w:type="pct"/>
            <w:shd w:val="clear" w:color="auto" w:fill="auto"/>
            <w:vAlign w:val="center"/>
          </w:tcPr>
          <w:p>
            <w:pPr>
              <w:jc w:val="left"/>
              <w:rPr>
                <w:rFonts w:ascii="Times New Roman" w:hAnsi="Times New Roman" w:eastAsia="宋体" w:cs="Times New Roman"/>
                <w:sz w:val="21"/>
                <w:szCs w:val="21"/>
              </w:rPr>
            </w:pPr>
            <w:r>
              <w:rPr>
                <w:rFonts w:ascii="Times New Roman" w:hAnsi="Times New Roman" w:cs="Times New Roman"/>
                <w:sz w:val="21"/>
                <w:szCs w:val="21"/>
              </w:rPr>
              <w:t>1616</w:t>
            </w:r>
          </w:p>
        </w:tc>
      </w:tr>
    </w:tbl>
    <w:p>
      <w:pPr>
        <w:ind w:firstLine="470" w:firstLineChars="196"/>
        <w:rPr>
          <w:rFonts w:ascii="楷体" w:hAnsi="楷体" w:eastAsia="楷体"/>
          <w:bCs/>
        </w:rPr>
      </w:pPr>
      <w:r>
        <w:rPr>
          <w:rFonts w:hint="eastAsia" w:ascii="楷体" w:hAnsi="楷体" w:eastAsia="楷体"/>
          <w:bCs/>
        </w:rPr>
        <w:t>注：面向的本校专业：实验教学内容列入专业人才培养方案的专业。</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（二）实验教学资源情况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78"/>
        <w:gridCol w:w="40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2629" w:type="pct"/>
            <w:vAlign w:val="center"/>
          </w:tcPr>
          <w:p>
            <w:pPr>
              <w:jc w:val="center"/>
              <w:rPr>
                <w:rFonts w:ascii="黑体" w:hAnsi="黑体" w:eastAsia="黑体"/>
                <w:bCs/>
              </w:rPr>
            </w:pPr>
            <w:r>
              <w:rPr>
                <w:rFonts w:hint="eastAsia" w:ascii="黑体" w:hAnsi="黑体" w:eastAsia="黑体"/>
                <w:bCs/>
              </w:rPr>
              <w:t>实验项目资源总数</w:t>
            </w:r>
          </w:p>
        </w:tc>
        <w:tc>
          <w:tcPr>
            <w:tcW w:w="2371" w:type="pct"/>
            <w:shd w:val="clear" w:color="auto" w:fill="auto"/>
          </w:tcPr>
          <w:p>
            <w:pPr>
              <w:jc w:val="right"/>
              <w:rPr>
                <w:rFonts w:ascii="黑体" w:hAnsi="黑体" w:eastAsia="黑体"/>
                <w:bCs/>
              </w:rPr>
            </w:pPr>
            <w:r>
              <w:rPr>
                <w:rFonts w:hint="eastAsia" w:ascii="黑体" w:hAnsi="黑体" w:eastAsia="黑体"/>
                <w:bCs/>
              </w:rPr>
              <w:t>386个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2629" w:type="pct"/>
            <w:vAlign w:val="center"/>
          </w:tcPr>
          <w:p>
            <w:pPr>
              <w:jc w:val="center"/>
              <w:rPr>
                <w:rFonts w:ascii="黑体" w:hAnsi="黑体" w:eastAsia="黑体"/>
                <w:bCs/>
              </w:rPr>
            </w:pPr>
            <w:r>
              <w:rPr>
                <w:rFonts w:hint="eastAsia" w:ascii="黑体" w:hAnsi="黑体" w:eastAsia="黑体"/>
                <w:bCs/>
              </w:rPr>
              <w:t>年度开设实验项目数</w:t>
            </w:r>
          </w:p>
        </w:tc>
        <w:tc>
          <w:tcPr>
            <w:tcW w:w="2371" w:type="pct"/>
            <w:shd w:val="clear" w:color="auto" w:fill="auto"/>
          </w:tcPr>
          <w:p>
            <w:pPr>
              <w:jc w:val="right"/>
              <w:rPr>
                <w:rFonts w:ascii="黑体" w:hAnsi="黑体" w:eastAsia="黑体"/>
                <w:bCs/>
              </w:rPr>
            </w:pPr>
            <w:r>
              <w:rPr>
                <w:rFonts w:hint="eastAsia" w:ascii="黑体" w:hAnsi="黑体" w:eastAsia="黑体"/>
                <w:bCs/>
              </w:rPr>
              <w:t>375个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2629" w:type="pct"/>
            <w:vAlign w:val="center"/>
          </w:tcPr>
          <w:p>
            <w:pPr>
              <w:jc w:val="center"/>
              <w:rPr>
                <w:rFonts w:ascii="黑体" w:hAnsi="黑体" w:eastAsia="黑体"/>
                <w:bCs/>
              </w:rPr>
            </w:pPr>
            <w:r>
              <w:rPr>
                <w:rFonts w:hint="eastAsia" w:ascii="黑体" w:hAnsi="黑体" w:eastAsia="黑体"/>
                <w:bCs/>
              </w:rPr>
              <w:t>年度独立设课的实验课程</w:t>
            </w:r>
          </w:p>
        </w:tc>
        <w:tc>
          <w:tcPr>
            <w:tcW w:w="2371" w:type="pct"/>
            <w:shd w:val="clear" w:color="auto" w:fill="auto"/>
          </w:tcPr>
          <w:p>
            <w:pPr>
              <w:jc w:val="right"/>
              <w:rPr>
                <w:rFonts w:ascii="黑体" w:hAnsi="黑体" w:eastAsia="黑体"/>
                <w:bCs/>
              </w:rPr>
            </w:pPr>
            <w:r>
              <w:rPr>
                <w:rFonts w:hint="eastAsia" w:ascii="黑体" w:hAnsi="黑体" w:eastAsia="黑体"/>
                <w:bCs/>
              </w:rPr>
              <w:t>16门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2629" w:type="pct"/>
            <w:vAlign w:val="center"/>
          </w:tcPr>
          <w:p>
            <w:pPr>
              <w:jc w:val="center"/>
              <w:rPr>
                <w:rFonts w:ascii="黑体" w:hAnsi="黑体" w:eastAsia="黑体"/>
                <w:bCs/>
              </w:rPr>
            </w:pPr>
            <w:r>
              <w:rPr>
                <w:rFonts w:hint="eastAsia" w:ascii="黑体" w:hAnsi="黑体" w:eastAsia="黑体"/>
                <w:bCs/>
              </w:rPr>
              <w:t>实验教材总数</w:t>
            </w:r>
          </w:p>
        </w:tc>
        <w:tc>
          <w:tcPr>
            <w:tcW w:w="2371" w:type="pct"/>
          </w:tcPr>
          <w:p>
            <w:pPr>
              <w:jc w:val="right"/>
              <w:rPr>
                <w:rFonts w:ascii="黑体" w:hAnsi="黑体" w:eastAsia="黑体"/>
                <w:bCs/>
              </w:rPr>
            </w:pPr>
            <w:r>
              <w:rPr>
                <w:rFonts w:hint="eastAsia" w:ascii="黑体" w:hAnsi="黑体" w:eastAsia="黑体"/>
                <w:bCs/>
              </w:rPr>
              <w:t>3种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2629" w:type="pct"/>
            <w:vAlign w:val="center"/>
          </w:tcPr>
          <w:p>
            <w:pPr>
              <w:jc w:val="center"/>
              <w:rPr>
                <w:rFonts w:ascii="黑体" w:hAnsi="黑体" w:eastAsia="黑体"/>
                <w:bCs/>
              </w:rPr>
            </w:pPr>
            <w:r>
              <w:rPr>
                <w:rFonts w:hint="eastAsia" w:ascii="黑体" w:hAnsi="黑体" w:eastAsia="黑体"/>
                <w:bCs/>
              </w:rPr>
              <w:t>年度新增实验教材</w:t>
            </w:r>
          </w:p>
        </w:tc>
        <w:tc>
          <w:tcPr>
            <w:tcW w:w="2371" w:type="pct"/>
          </w:tcPr>
          <w:p>
            <w:pPr>
              <w:jc w:val="right"/>
              <w:rPr>
                <w:rFonts w:ascii="黑体" w:hAnsi="黑体" w:eastAsia="黑体"/>
                <w:bCs/>
              </w:rPr>
            </w:pPr>
            <w:r>
              <w:rPr>
                <w:rFonts w:hint="eastAsia" w:ascii="黑体" w:hAnsi="黑体" w:eastAsia="黑体"/>
                <w:bCs/>
              </w:rPr>
              <w:t>0种</w:t>
            </w:r>
          </w:p>
        </w:tc>
      </w:tr>
    </w:tbl>
    <w:p>
      <w:pPr>
        <w:ind w:firstLine="470" w:firstLineChars="196"/>
        <w:rPr>
          <w:rFonts w:ascii="楷体" w:hAnsi="楷体" w:eastAsia="楷体"/>
          <w:bCs/>
        </w:rPr>
      </w:pPr>
      <w:r>
        <w:rPr>
          <w:rFonts w:hint="eastAsia" w:ascii="楷体" w:hAnsi="楷体" w:eastAsia="楷体"/>
          <w:bCs/>
        </w:rPr>
        <w:t>注：（1）实验项目：有实验讲义和既往学生实验报告的实验项目。（2）实验教材：由中心固定人员担任主编、正式出版的实验教材。（3）实验课程：在专业培养方案中独立设置学分的实验课程。</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（三）学生获奖情况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78"/>
        <w:gridCol w:w="40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trPr>
        <w:tc>
          <w:tcPr>
            <w:tcW w:w="2629" w:type="pct"/>
            <w:vAlign w:val="center"/>
          </w:tcPr>
          <w:p>
            <w:pPr>
              <w:jc w:val="center"/>
              <w:rPr>
                <w:rFonts w:ascii="黑体" w:hAnsi="黑体" w:eastAsia="黑体"/>
                <w:bCs/>
              </w:rPr>
            </w:pPr>
            <w:r>
              <w:rPr>
                <w:rFonts w:hint="eastAsia" w:ascii="黑体" w:hAnsi="黑体" w:eastAsia="黑体"/>
                <w:bCs/>
              </w:rPr>
              <w:t>学生获奖人数</w:t>
            </w:r>
          </w:p>
        </w:tc>
        <w:tc>
          <w:tcPr>
            <w:tcW w:w="2371" w:type="pct"/>
            <w:vAlign w:val="center"/>
          </w:tcPr>
          <w:p>
            <w:pPr>
              <w:jc w:val="right"/>
              <w:rPr>
                <w:rFonts w:ascii="黑体" w:hAnsi="黑体" w:eastAsia="黑体"/>
                <w:bCs/>
              </w:rPr>
            </w:pPr>
            <w:r>
              <w:rPr>
                <w:rFonts w:hint="eastAsia" w:ascii="黑体" w:hAnsi="黑体" w:eastAsia="黑体"/>
                <w:bCs/>
              </w:rPr>
              <w:t>15人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trPr>
        <w:tc>
          <w:tcPr>
            <w:tcW w:w="2629" w:type="pct"/>
            <w:vAlign w:val="center"/>
          </w:tcPr>
          <w:p>
            <w:pPr>
              <w:jc w:val="center"/>
              <w:rPr>
                <w:rFonts w:ascii="黑体" w:hAnsi="黑体" w:eastAsia="黑体"/>
                <w:bCs/>
              </w:rPr>
            </w:pPr>
            <w:r>
              <w:rPr>
                <w:rFonts w:hint="eastAsia" w:ascii="黑体" w:hAnsi="黑体" w:eastAsia="黑体"/>
                <w:bCs/>
              </w:rPr>
              <w:t>学生发表论文数</w:t>
            </w:r>
          </w:p>
        </w:tc>
        <w:tc>
          <w:tcPr>
            <w:tcW w:w="2371" w:type="pct"/>
            <w:vAlign w:val="center"/>
          </w:tcPr>
          <w:p>
            <w:pPr>
              <w:jc w:val="right"/>
              <w:rPr>
                <w:rFonts w:ascii="黑体" w:hAnsi="黑体" w:eastAsia="黑体"/>
                <w:bCs/>
              </w:rPr>
            </w:pPr>
            <w:r>
              <w:rPr>
                <w:rFonts w:hint="eastAsia" w:ascii="黑体" w:hAnsi="黑体" w:eastAsia="黑体"/>
                <w:bCs/>
              </w:rPr>
              <w:t>25篇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trPr>
        <w:tc>
          <w:tcPr>
            <w:tcW w:w="2629" w:type="pct"/>
            <w:vAlign w:val="center"/>
          </w:tcPr>
          <w:p>
            <w:pPr>
              <w:jc w:val="center"/>
              <w:rPr>
                <w:rFonts w:ascii="黑体" w:hAnsi="黑体" w:eastAsia="黑体"/>
                <w:bCs/>
              </w:rPr>
            </w:pPr>
            <w:r>
              <w:rPr>
                <w:rFonts w:hint="eastAsia" w:ascii="黑体" w:hAnsi="黑体" w:eastAsia="黑体"/>
                <w:bCs/>
              </w:rPr>
              <w:t>学生获得专利数</w:t>
            </w:r>
          </w:p>
        </w:tc>
        <w:tc>
          <w:tcPr>
            <w:tcW w:w="2371" w:type="pct"/>
            <w:vAlign w:val="center"/>
          </w:tcPr>
          <w:p>
            <w:pPr>
              <w:jc w:val="right"/>
              <w:rPr>
                <w:rFonts w:ascii="黑体" w:hAnsi="黑体" w:eastAsia="黑体"/>
                <w:bCs/>
              </w:rPr>
            </w:pPr>
            <w:r>
              <w:rPr>
                <w:rFonts w:hint="eastAsia" w:ascii="黑体" w:hAnsi="黑体" w:eastAsia="黑体"/>
                <w:bCs/>
              </w:rPr>
              <w:t>0项</w:t>
            </w:r>
          </w:p>
        </w:tc>
      </w:tr>
    </w:tbl>
    <w:p>
      <w:pPr>
        <w:ind w:firstLine="470" w:firstLineChars="196"/>
        <w:rPr>
          <w:rFonts w:ascii="楷体" w:hAnsi="楷体" w:eastAsia="楷体"/>
          <w:bCs/>
        </w:rPr>
      </w:pPr>
      <w:r>
        <w:rPr>
          <w:rFonts w:hint="eastAsia" w:ascii="楷体" w:hAnsi="楷体"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ind w:firstLine="630" w:firstLineChars="196"/>
        <w:rPr>
          <w:rFonts w:ascii="黑体" w:hAnsi="黑体" w:eastAsia="黑体"/>
          <w:b/>
          <w:bCs/>
          <w:sz w:val="32"/>
          <w:szCs w:val="32"/>
        </w:rPr>
      </w:pPr>
      <w:r>
        <w:rPr>
          <w:rFonts w:hint="eastAsia" w:ascii="黑体" w:hAnsi="黑体" w:eastAsia="黑体"/>
          <w:b/>
          <w:bCs/>
          <w:sz w:val="32"/>
          <w:szCs w:val="32"/>
        </w:rPr>
        <w:t>四、教学改革与科学研究情况</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（一）</w:t>
      </w:r>
      <w:r>
        <w:rPr>
          <w:rFonts w:hint="eastAsia" w:ascii="黑体" w:hAnsi="黑体" w:eastAsia="黑体" w:cs="仿宋_GB2312"/>
          <w:bCs/>
          <w:sz w:val="28"/>
          <w:szCs w:val="28"/>
        </w:rPr>
        <w:t>承担教学改革任务及经费</w:t>
      </w:r>
    </w:p>
    <w:tbl>
      <w:tblPr>
        <w:tblStyle w:val="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1577"/>
        <w:gridCol w:w="1622"/>
        <w:gridCol w:w="656"/>
        <w:gridCol w:w="1333"/>
        <w:gridCol w:w="1720"/>
        <w:gridCol w:w="696"/>
        <w:gridCol w:w="4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序号</w:t>
            </w:r>
          </w:p>
        </w:tc>
        <w:tc>
          <w:tcPr>
            <w:tcW w:w="1577" w:type="dxa"/>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项目/</w:t>
            </w:r>
          </w:p>
          <w:p>
            <w:pPr>
              <w:adjustRightInd w:val="0"/>
              <w:snapToGrid w:val="0"/>
              <w:jc w:val="center"/>
              <w:rPr>
                <w:rFonts w:ascii="Times New Roman" w:hAnsi="Times New Roman" w:eastAsia="黑体" w:cs="Times New Roman"/>
              </w:rPr>
            </w:pPr>
            <w:r>
              <w:rPr>
                <w:rFonts w:ascii="Times New Roman" w:hAnsi="Times New Roman" w:eastAsia="黑体" w:cs="Times New Roman"/>
              </w:rPr>
              <w:t>课题名称</w:t>
            </w:r>
          </w:p>
        </w:tc>
        <w:tc>
          <w:tcPr>
            <w:tcW w:w="1622" w:type="dxa"/>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文号</w:t>
            </w:r>
          </w:p>
        </w:tc>
        <w:tc>
          <w:tcPr>
            <w:tcW w:w="656" w:type="dxa"/>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负责人</w:t>
            </w:r>
          </w:p>
        </w:tc>
        <w:tc>
          <w:tcPr>
            <w:tcW w:w="1333" w:type="dxa"/>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参加人员</w:t>
            </w:r>
          </w:p>
        </w:tc>
        <w:tc>
          <w:tcPr>
            <w:tcW w:w="1720" w:type="dxa"/>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起止时间</w:t>
            </w:r>
          </w:p>
        </w:tc>
        <w:tc>
          <w:tcPr>
            <w:tcW w:w="0" w:type="auto"/>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经费（万元）</w:t>
            </w:r>
          </w:p>
        </w:tc>
        <w:tc>
          <w:tcPr>
            <w:tcW w:w="0" w:type="auto"/>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0" w:type="auto"/>
            <w:vAlign w:val="center"/>
          </w:tcPr>
          <w:p>
            <w:pPr>
              <w:adjustRightInd w:val="0"/>
              <w:snapToGrid w:val="0"/>
              <w:jc w:val="center"/>
              <w:rPr>
                <w:rFonts w:ascii="Times New Roman" w:hAnsi="Times New Roman" w:eastAsia="楷体" w:cs="Times New Roman"/>
                <w:sz w:val="22"/>
                <w:szCs w:val="22"/>
              </w:rPr>
            </w:pPr>
            <w:r>
              <w:rPr>
                <w:rFonts w:ascii="Times New Roman" w:hAnsi="Times New Roman" w:eastAsia="楷体" w:cs="Times New Roman"/>
                <w:sz w:val="22"/>
                <w:szCs w:val="22"/>
              </w:rPr>
              <w:t>1</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 基于超星学习通移动平台的植物学混合式教学模式的探索与实践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SJGY20190467</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张美萍</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郭晓红,贺琳,韩文革,姜述君</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201906-202105</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left"/>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2</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红色精神在培养双创型农林人才实践教学中的应用——以北大荒精神为例</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SJGY20190482</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张明聪</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战英策,张玉先,陈彦彦,刘春梅</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201906-202105</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left"/>
              <w:textAlignment w:val="center"/>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3</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新农科背景下基于OBE的《植物化学保护学》教学改革与实践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NDJY2002</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刘明</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郭永霞,孔祥清,金永玲,周园园</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202011-202110</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0.1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left"/>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4</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应用型地方农业院校实践教育教学体系构建</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SJGZ20200125</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郭永霞</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郑雯,杨凤军,林志伟,张有利,杨克军,盛云燕,郑家三, 李国俊,杨喜刚,秦智伟</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202005-202405</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2.0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5</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“双一流”建设背景下“杂粮生产与加工”特色学科硕士研究生科研体验调查研究</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SJGY20200488</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于崧</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张翼飞,杨克军,赵强,郭伟</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202008-202208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6</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乡村振兴战略背景下的产学研联合“导向式”研究生培养模式改革研究</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SJGY20200489</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金永玲</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郭永霞，高玉刚，殷丽华，左豫虎</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202008-202208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7</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“新农科”背景下课程“四化”考评体系的理论与实践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SJGY20200493</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赵长江</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张海燕,王智慧,付健,姚钦</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202008-202208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8</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面向北大荒“三大一航母”创新人才培育的农学专业STEAM实践教学活动设计研究</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SJGY20200513</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张翼飞</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于崧,郭伟,张有利,郑雯</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202008-202208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9</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新农科建设背景下《作物育种学》线上线下混合式“金课”建设与实践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SJGY20210607</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孙丽芳</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王霞,高树仁,金光辉,姜丽丽</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10</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新农科背景下植物生产类专业基础课分层次多维度的教学改革与实践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SJGY20210608</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洪艳华</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鞠世杰,</w:t>
            </w:r>
            <w:r>
              <w:rPr>
                <w:rFonts w:ascii="Times New Roman" w:hAnsi="Times New Roman" w:cs="Times New Roman"/>
                <w:color w:val="000000"/>
                <w:sz w:val="21"/>
                <w:szCs w:val="21"/>
              </w:rPr>
              <w:t xml:space="preserve"> 贾博为, 张美萍, 贝丽霞</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11</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OBE理念指导下的研究生创新能力培养研究</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SJGY20210609</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郭伟</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孙海燕,薛盈文,于崧</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ascii="Times New Roman" w:hAnsi="Times New Roman" w:eastAsia="宋体" w:cs="Times New Roman"/>
                <w:kern w:val="0"/>
                <w:sz w:val="22"/>
                <w:szCs w:val="22"/>
                <w:lang w:bidi="ar"/>
              </w:rPr>
              <w:t>12</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“北大荒精神”指引下的农业产业创新创业教育与精准服务乡村振兴研究</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SJGY20210630</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杜艳丽</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赵强，张文慧，杜吉到，王洁琦</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13</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双创教育背景下植物学混合式教学模式的研究</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SJGY20210631</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贺琳</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韩文革,郭晓红,张美萍,姜述君</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14</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北大荒精神引领下农学专业创新创业复合应用型人才培育模式创新与实践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SJGY20210632</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殷大伟</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范名宇，汪秀志，郑雯，郑桂萍，郭晓红，林志伟，苗兴芬，刘丽华 </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15</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面向创新创业教育导向的实践教学体系改革——以农业资源与环境专业为例</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SJGY20210633</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张明聪</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战英策,张玉先,陈彦彦,刘春梅</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16</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“双碳”背景下“双创”红色筑梦教育实践教学体系研究</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SJGY20210634</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张有利</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郑雯，何淑平，辛刚,陈宝政,张兴梅</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17</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涉农专业普通专升本学生创新创业贯通教育模式探索与实践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SJGY20210635</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孙强</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郭永霞,郑雯,林志伟</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18</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新农科背景下双创教育融入农学类应用型人才培养的探索与实践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SJGY20210636</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王宁</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张有利，刘明，于立红</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19</w:t>
            </w:r>
          </w:p>
        </w:tc>
        <w:tc>
          <w:tcPr>
            <w:tcW w:w="1577"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普通农业院校大学生“双创”意识分析及培养的研究与实践</w:t>
            </w:r>
          </w:p>
        </w:tc>
        <w:tc>
          <w:tcPr>
            <w:tcW w:w="1622"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SJGY20210637</w:t>
            </w:r>
          </w:p>
        </w:tc>
        <w:tc>
          <w:tcPr>
            <w:tcW w:w="656"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于立红</w:t>
            </w:r>
          </w:p>
        </w:tc>
        <w:tc>
          <w:tcPr>
            <w:tcW w:w="1333"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王孟雪，刘春梅，何淑平</w:t>
            </w:r>
          </w:p>
        </w:tc>
        <w:tc>
          <w:tcPr>
            <w:tcW w:w="1720" w:type="dxa"/>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202108-202308</w:t>
            </w:r>
          </w:p>
        </w:tc>
        <w:tc>
          <w:tcPr>
            <w:tcW w:w="0" w:type="auto"/>
            <w:vAlign w:val="center"/>
          </w:tcPr>
          <w:p>
            <w:pPr>
              <w:jc w:val="right"/>
              <w:rPr>
                <w:rFonts w:ascii="Times New Roman" w:hAnsi="Times New Roman" w:eastAsia="宋体" w:cs="Times New Roman"/>
                <w:color w:val="000000"/>
                <w:sz w:val="22"/>
                <w:szCs w:val="22"/>
              </w:rPr>
            </w:pPr>
            <w:r>
              <w:rPr>
                <w:rFonts w:ascii="Times New Roman" w:hAnsi="Times New Roman" w:cs="Times New Roman"/>
                <w:color w:val="000000"/>
                <w:sz w:val="22"/>
                <w:szCs w:val="22"/>
              </w:rPr>
              <w:t xml:space="preserve">1.0 </w:t>
            </w:r>
          </w:p>
        </w:tc>
        <w:tc>
          <w:tcPr>
            <w:tcW w:w="0" w:type="auto"/>
            <w:vAlign w:val="center"/>
          </w:tcPr>
          <w:p>
            <w:pPr>
              <w:rPr>
                <w:rFonts w:ascii="Times New Roman" w:hAnsi="Times New Roman" w:eastAsia="宋体" w:cs="Times New Roman"/>
                <w:color w:val="000000"/>
                <w:sz w:val="22"/>
                <w:szCs w:val="22"/>
              </w:rPr>
            </w:pPr>
            <w:r>
              <w:rPr>
                <w:rFonts w:ascii="Times New Roman" w:hAnsi="Times New Roman" w:cs="Times New Roman"/>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20</w:t>
            </w:r>
          </w:p>
        </w:tc>
        <w:tc>
          <w:tcPr>
            <w:tcW w:w="1577" w:type="dxa"/>
            <w:vAlign w:val="center"/>
          </w:tcPr>
          <w:p>
            <w:pPr>
              <w:rPr>
                <w:rFonts w:ascii="宋体" w:hAnsi="宋体" w:eastAsia="宋体" w:cs="宋体"/>
                <w:sz w:val="21"/>
                <w:szCs w:val="21"/>
              </w:rPr>
            </w:pPr>
            <w:r>
              <w:rPr>
                <w:rFonts w:hint="eastAsia"/>
                <w:sz w:val="21"/>
                <w:szCs w:val="21"/>
              </w:rPr>
              <w:t>基于BOPPPS和PDA模式的线上线下混合式课堂教学模式构建——以耕作学课程为例</w:t>
            </w:r>
          </w:p>
        </w:tc>
        <w:tc>
          <w:tcPr>
            <w:tcW w:w="1622" w:type="dxa"/>
            <w:vAlign w:val="center"/>
          </w:tcPr>
          <w:p>
            <w:pPr>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rPr>
              <w:t>GJB1421188</w:t>
            </w:r>
          </w:p>
        </w:tc>
        <w:tc>
          <w:tcPr>
            <w:tcW w:w="656" w:type="dxa"/>
            <w:vAlign w:val="center"/>
          </w:tcPr>
          <w:p>
            <w:pPr>
              <w:jc w:val="center"/>
              <w:rPr>
                <w:rFonts w:ascii="宋体" w:hAnsi="宋体" w:eastAsia="宋体" w:cs="宋体"/>
                <w:sz w:val="20"/>
                <w:szCs w:val="20"/>
              </w:rPr>
            </w:pPr>
            <w:r>
              <w:rPr>
                <w:rFonts w:hint="eastAsia"/>
                <w:sz w:val="20"/>
                <w:szCs w:val="20"/>
              </w:rPr>
              <w:t>张玉先</w:t>
            </w:r>
          </w:p>
        </w:tc>
        <w:tc>
          <w:tcPr>
            <w:tcW w:w="1333" w:type="dxa"/>
            <w:vAlign w:val="center"/>
          </w:tcPr>
          <w:p>
            <w:pPr>
              <w:rPr>
                <w:rFonts w:ascii="宋体" w:hAnsi="宋体" w:eastAsia="宋体" w:cs="宋体"/>
                <w:sz w:val="20"/>
                <w:szCs w:val="20"/>
              </w:rPr>
            </w:pPr>
            <w:r>
              <w:rPr>
                <w:rFonts w:hint="eastAsia"/>
                <w:sz w:val="20"/>
                <w:szCs w:val="20"/>
              </w:rPr>
              <w:t>战英策，张明聪，郑雯，陆磊</w:t>
            </w:r>
          </w:p>
        </w:tc>
        <w:tc>
          <w:tcPr>
            <w:tcW w:w="1720" w:type="dxa"/>
            <w:vAlign w:val="center"/>
          </w:tcPr>
          <w:p>
            <w:pPr>
              <w:rPr>
                <w:rFonts w:ascii="宋体" w:hAnsi="宋体" w:eastAsia="宋体" w:cs="宋体"/>
                <w:color w:val="000000"/>
                <w:sz w:val="22"/>
                <w:szCs w:val="22"/>
              </w:rPr>
            </w:pPr>
            <w:r>
              <w:rPr>
                <w:rFonts w:hint="eastAsia"/>
                <w:color w:val="000000"/>
                <w:sz w:val="22"/>
                <w:szCs w:val="22"/>
              </w:rPr>
              <w:t>202101-202301</w:t>
            </w:r>
          </w:p>
        </w:tc>
        <w:tc>
          <w:tcPr>
            <w:tcW w:w="0" w:type="auto"/>
            <w:vAlign w:val="center"/>
          </w:tcPr>
          <w:p>
            <w:pPr>
              <w:jc w:val="right"/>
              <w:rPr>
                <w:rFonts w:ascii="宋体" w:hAnsi="宋体" w:eastAsia="宋体" w:cs="宋体"/>
                <w:color w:val="000000"/>
                <w:sz w:val="22"/>
                <w:szCs w:val="22"/>
              </w:rPr>
            </w:pPr>
            <w:r>
              <w:rPr>
                <w:rFonts w:hint="eastAsia"/>
                <w:color w:val="000000"/>
                <w:sz w:val="22"/>
                <w:szCs w:val="22"/>
              </w:rPr>
              <w:t xml:space="preserve">1.0 </w:t>
            </w:r>
          </w:p>
        </w:tc>
        <w:tc>
          <w:tcPr>
            <w:tcW w:w="0" w:type="auto"/>
            <w:vAlign w:val="center"/>
          </w:tcPr>
          <w:p>
            <w:pPr>
              <w:rPr>
                <w:rFonts w:ascii="宋体" w:hAnsi="宋体" w:eastAsia="宋体" w:cs="宋体"/>
                <w:color w:val="000000"/>
                <w:sz w:val="22"/>
                <w:szCs w:val="22"/>
              </w:rPr>
            </w:pPr>
            <w:r>
              <w:rPr>
                <w:rFonts w:hint="eastAsia"/>
                <w:color w:val="000000"/>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widowControl/>
              <w:jc w:val="center"/>
              <w:textAlignment w:val="center"/>
              <w:rPr>
                <w:rFonts w:ascii="Times New Roman" w:hAnsi="Times New Roman" w:eastAsia="宋体" w:cs="Times New Roman"/>
                <w:kern w:val="0"/>
                <w:sz w:val="22"/>
                <w:szCs w:val="22"/>
                <w:lang w:bidi="ar"/>
              </w:rPr>
            </w:pPr>
            <w:r>
              <w:rPr>
                <w:rFonts w:hint="eastAsia" w:ascii="Times New Roman" w:hAnsi="Times New Roman" w:eastAsia="宋体" w:cs="Times New Roman"/>
                <w:kern w:val="0"/>
                <w:sz w:val="22"/>
                <w:szCs w:val="22"/>
                <w:lang w:bidi="ar"/>
              </w:rPr>
              <w:t>21</w:t>
            </w:r>
          </w:p>
        </w:tc>
        <w:tc>
          <w:tcPr>
            <w:tcW w:w="1577" w:type="dxa"/>
            <w:vAlign w:val="center"/>
          </w:tcPr>
          <w:p>
            <w:pPr>
              <w:rPr>
                <w:rFonts w:ascii="宋体" w:hAnsi="宋体" w:eastAsia="宋体" w:cs="宋体"/>
                <w:sz w:val="21"/>
                <w:szCs w:val="21"/>
              </w:rPr>
            </w:pPr>
            <w:r>
              <w:rPr>
                <w:rFonts w:hint="eastAsia"/>
                <w:sz w:val="21"/>
                <w:szCs w:val="21"/>
              </w:rPr>
              <w:t>基于“课题组平台”促进农学专业本硕人才协同培养的研究与实践</w:t>
            </w:r>
          </w:p>
        </w:tc>
        <w:tc>
          <w:tcPr>
            <w:tcW w:w="1622" w:type="dxa"/>
            <w:vAlign w:val="center"/>
          </w:tcPr>
          <w:p>
            <w:pPr>
              <w:jc w:val="center"/>
              <w:rPr>
                <w:rFonts w:ascii="Times New Roman" w:hAnsi="Times New Roman" w:cs="Times New Roman"/>
                <w:color w:val="000000"/>
                <w:sz w:val="22"/>
                <w:szCs w:val="22"/>
              </w:rPr>
            </w:pPr>
            <w:r>
              <w:rPr>
                <w:rFonts w:hint="eastAsia" w:ascii="Times New Roman" w:hAnsi="Times New Roman" w:cs="Times New Roman"/>
                <w:color w:val="000000"/>
                <w:sz w:val="22"/>
                <w:szCs w:val="22"/>
              </w:rPr>
              <w:t>GJB1421189</w:t>
            </w:r>
          </w:p>
        </w:tc>
        <w:tc>
          <w:tcPr>
            <w:tcW w:w="656" w:type="dxa"/>
            <w:vAlign w:val="center"/>
          </w:tcPr>
          <w:p>
            <w:pPr>
              <w:jc w:val="center"/>
              <w:rPr>
                <w:rFonts w:ascii="宋体" w:hAnsi="宋体" w:eastAsia="宋体" w:cs="宋体"/>
                <w:sz w:val="20"/>
                <w:szCs w:val="20"/>
              </w:rPr>
            </w:pPr>
            <w:r>
              <w:rPr>
                <w:rFonts w:hint="eastAsia"/>
                <w:sz w:val="20"/>
                <w:szCs w:val="20"/>
              </w:rPr>
              <w:t>金喜军</w:t>
            </w:r>
          </w:p>
        </w:tc>
        <w:tc>
          <w:tcPr>
            <w:tcW w:w="1333" w:type="dxa"/>
            <w:vAlign w:val="center"/>
          </w:tcPr>
          <w:p>
            <w:pPr>
              <w:rPr>
                <w:rFonts w:ascii="宋体" w:hAnsi="宋体" w:eastAsia="宋体" w:cs="宋体"/>
                <w:sz w:val="20"/>
                <w:szCs w:val="20"/>
              </w:rPr>
            </w:pPr>
            <w:r>
              <w:rPr>
                <w:rFonts w:hint="eastAsia"/>
                <w:sz w:val="20"/>
                <w:szCs w:val="20"/>
              </w:rPr>
              <w:t>张有利，许洪伟，于高波，苗兴芬，张玉先，曹亮，赵强</w:t>
            </w:r>
          </w:p>
        </w:tc>
        <w:tc>
          <w:tcPr>
            <w:tcW w:w="1720" w:type="dxa"/>
            <w:vAlign w:val="center"/>
          </w:tcPr>
          <w:p>
            <w:pPr>
              <w:rPr>
                <w:rFonts w:ascii="宋体" w:hAnsi="宋体" w:eastAsia="宋体" w:cs="宋体"/>
                <w:color w:val="000000"/>
                <w:sz w:val="22"/>
                <w:szCs w:val="22"/>
              </w:rPr>
            </w:pPr>
            <w:r>
              <w:rPr>
                <w:rFonts w:hint="eastAsia"/>
                <w:color w:val="000000"/>
                <w:sz w:val="22"/>
                <w:szCs w:val="22"/>
              </w:rPr>
              <w:t>202101-202301</w:t>
            </w:r>
          </w:p>
        </w:tc>
        <w:tc>
          <w:tcPr>
            <w:tcW w:w="0" w:type="auto"/>
            <w:vAlign w:val="center"/>
          </w:tcPr>
          <w:p>
            <w:pPr>
              <w:jc w:val="right"/>
              <w:rPr>
                <w:rFonts w:ascii="宋体" w:hAnsi="宋体" w:eastAsia="宋体" w:cs="宋体"/>
                <w:color w:val="000000"/>
                <w:sz w:val="22"/>
                <w:szCs w:val="22"/>
              </w:rPr>
            </w:pPr>
            <w:r>
              <w:rPr>
                <w:rFonts w:hint="eastAsia"/>
                <w:color w:val="000000"/>
                <w:sz w:val="22"/>
                <w:szCs w:val="22"/>
              </w:rPr>
              <w:t xml:space="preserve">1.0 </w:t>
            </w:r>
          </w:p>
        </w:tc>
        <w:tc>
          <w:tcPr>
            <w:tcW w:w="0" w:type="auto"/>
            <w:vAlign w:val="center"/>
          </w:tcPr>
          <w:p>
            <w:pPr>
              <w:rPr>
                <w:rFonts w:ascii="宋体" w:hAnsi="宋体" w:eastAsia="宋体" w:cs="宋体"/>
                <w:color w:val="000000"/>
                <w:sz w:val="22"/>
                <w:szCs w:val="22"/>
              </w:rPr>
            </w:pPr>
            <w:r>
              <w:rPr>
                <w:rFonts w:hint="eastAsia"/>
                <w:color w:val="000000"/>
                <w:sz w:val="22"/>
                <w:szCs w:val="22"/>
              </w:rPr>
              <w:t>a</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（1）此表填写省部级以上教学改革项目</w:t>
      </w:r>
      <w:r>
        <w:rPr>
          <w:rFonts w:ascii="楷体" w:hAnsi="楷体" w:eastAsia="楷体"/>
          <w:bCs/>
        </w:rPr>
        <w:t>（课题）名称：</w:t>
      </w:r>
      <w:r>
        <w:rPr>
          <w:rFonts w:ascii="楷体" w:hAnsi="楷体" w:eastAsia="楷体" w:cs="仿宋_GB2312"/>
        </w:rPr>
        <w:t>项目管理部门下达的有正式文号的最小一级子课题名称。</w:t>
      </w: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r>
        <w:rPr>
          <w:rFonts w:hint="eastAsia" w:ascii="楷体" w:hAnsi="楷体" w:eastAsia="楷体" w:cs="仿宋_GB2312"/>
        </w:rPr>
        <w:t>（3）</w:t>
      </w:r>
      <w:r>
        <w:rPr>
          <w:rFonts w:ascii="楷体" w:hAnsi="楷体" w:eastAsia="楷体" w:cs="仿宋_GB2312"/>
        </w:rPr>
        <w:t>负责人：必须是中心固定人员。</w:t>
      </w: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其中研究生、博士后名字后标注*，非本中心人员名字后标注＃。</w:t>
      </w: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指示范中心本年度实际到账的研究经费。（6）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类课题指以示范中心为主的课题；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本示范中心协同其他单位研究的课题</w:t>
      </w:r>
      <w:r>
        <w:rPr>
          <w:rFonts w:hint="eastAsia" w:ascii="楷体" w:hAnsi="楷体" w:eastAsia="楷体" w:cs="仿宋_GB2312"/>
        </w:rPr>
        <w:t>。</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cs="宋体"/>
          <w:sz w:val="28"/>
          <w:szCs w:val="28"/>
        </w:rPr>
        <w:t>（二）</w:t>
      </w:r>
      <w:r>
        <w:rPr>
          <w:rFonts w:hint="eastAsia" w:ascii="黑体" w:hAnsi="黑体" w:eastAsia="黑体" w:cs="仿宋_GB2312"/>
          <w:bCs/>
          <w:sz w:val="28"/>
          <w:szCs w:val="28"/>
        </w:rPr>
        <w:t>研究成果</w:t>
      </w:r>
    </w:p>
    <w:p>
      <w:pPr>
        <w:spacing w:before="163" w:beforeLines="50" w:after="163" w:afterLines="50"/>
        <w:ind w:firstLine="480" w:firstLineChars="200"/>
        <w:rPr>
          <w:rFonts w:ascii="黑体" w:hAnsi="黑体" w:eastAsia="黑体"/>
        </w:rPr>
      </w:pPr>
      <w:r>
        <w:rPr>
          <w:rFonts w:hint="eastAsia" w:ascii="黑体" w:hAnsi="黑体" w:eastAsia="黑体" w:cs="仿宋_GB2312"/>
        </w:rPr>
        <w:t>1.专利情况</w:t>
      </w:r>
    </w:p>
    <w:tbl>
      <w:tblPr>
        <w:tblStyle w:val="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97"/>
        <w:gridCol w:w="3448"/>
        <w:gridCol w:w="1995"/>
        <w:gridCol w:w="658"/>
        <w:gridCol w:w="601"/>
        <w:gridCol w:w="658"/>
        <w:gridCol w:w="6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0" w:type="auto"/>
            <w:vAlign w:val="center"/>
          </w:tcPr>
          <w:p>
            <w:pPr>
              <w:adjustRightInd w:val="0"/>
              <w:snapToGrid w:val="0"/>
              <w:jc w:val="center"/>
              <w:rPr>
                <w:rFonts w:ascii="Times New Roman" w:hAnsi="Times New Roman" w:eastAsia="黑体" w:cs="Times New Roman"/>
                <w:sz w:val="20"/>
                <w:szCs w:val="20"/>
              </w:rPr>
            </w:pPr>
            <w:r>
              <w:rPr>
                <w:rFonts w:ascii="Times New Roman" w:hAnsi="Times New Roman" w:eastAsia="黑体" w:cs="Times New Roman"/>
                <w:sz w:val="20"/>
                <w:szCs w:val="20"/>
              </w:rPr>
              <w:t>序号</w:t>
            </w:r>
          </w:p>
        </w:tc>
        <w:tc>
          <w:tcPr>
            <w:tcW w:w="0" w:type="auto"/>
            <w:vAlign w:val="center"/>
          </w:tcPr>
          <w:p>
            <w:pPr>
              <w:adjustRightInd w:val="0"/>
              <w:snapToGrid w:val="0"/>
              <w:jc w:val="center"/>
              <w:rPr>
                <w:rFonts w:ascii="Times New Roman" w:hAnsi="Times New Roman" w:eastAsia="黑体" w:cs="Times New Roman"/>
                <w:sz w:val="20"/>
                <w:szCs w:val="20"/>
              </w:rPr>
            </w:pPr>
            <w:r>
              <w:rPr>
                <w:rFonts w:ascii="Times New Roman" w:hAnsi="Times New Roman" w:eastAsia="黑体" w:cs="Times New Roman"/>
                <w:sz w:val="20"/>
                <w:szCs w:val="20"/>
              </w:rPr>
              <w:t>专利名称</w:t>
            </w:r>
          </w:p>
        </w:tc>
        <w:tc>
          <w:tcPr>
            <w:tcW w:w="0" w:type="auto"/>
            <w:vAlign w:val="center"/>
          </w:tcPr>
          <w:p>
            <w:pPr>
              <w:adjustRightInd w:val="0"/>
              <w:snapToGrid w:val="0"/>
              <w:jc w:val="center"/>
              <w:rPr>
                <w:rFonts w:ascii="Times New Roman" w:hAnsi="Times New Roman" w:eastAsia="黑体" w:cs="Times New Roman"/>
                <w:sz w:val="20"/>
                <w:szCs w:val="20"/>
              </w:rPr>
            </w:pPr>
            <w:r>
              <w:rPr>
                <w:rFonts w:ascii="Times New Roman" w:hAnsi="Times New Roman" w:eastAsia="黑体" w:cs="Times New Roman"/>
                <w:sz w:val="20"/>
                <w:szCs w:val="20"/>
              </w:rPr>
              <w:t>专利授权号</w:t>
            </w:r>
          </w:p>
        </w:tc>
        <w:tc>
          <w:tcPr>
            <w:tcW w:w="0" w:type="auto"/>
            <w:vAlign w:val="center"/>
          </w:tcPr>
          <w:p>
            <w:pPr>
              <w:adjustRightInd w:val="0"/>
              <w:snapToGrid w:val="0"/>
              <w:jc w:val="center"/>
              <w:rPr>
                <w:rFonts w:ascii="Times New Roman" w:hAnsi="Times New Roman" w:eastAsia="黑体" w:cs="Times New Roman"/>
                <w:sz w:val="20"/>
                <w:szCs w:val="20"/>
              </w:rPr>
            </w:pPr>
            <w:r>
              <w:rPr>
                <w:rFonts w:ascii="Times New Roman" w:hAnsi="Times New Roman" w:eastAsia="黑体" w:cs="Times New Roman"/>
                <w:sz w:val="20"/>
                <w:szCs w:val="20"/>
              </w:rPr>
              <w:t>获准国别</w:t>
            </w:r>
          </w:p>
        </w:tc>
        <w:tc>
          <w:tcPr>
            <w:tcW w:w="0" w:type="auto"/>
            <w:vAlign w:val="center"/>
          </w:tcPr>
          <w:p>
            <w:pPr>
              <w:adjustRightInd w:val="0"/>
              <w:snapToGrid w:val="0"/>
              <w:jc w:val="center"/>
              <w:rPr>
                <w:rFonts w:ascii="Times New Roman" w:hAnsi="Times New Roman" w:eastAsia="黑体" w:cs="Times New Roman"/>
                <w:sz w:val="20"/>
                <w:szCs w:val="20"/>
              </w:rPr>
            </w:pPr>
            <w:r>
              <w:rPr>
                <w:rFonts w:ascii="Times New Roman" w:hAnsi="Times New Roman" w:eastAsia="黑体" w:cs="Times New Roman"/>
                <w:sz w:val="20"/>
                <w:szCs w:val="20"/>
              </w:rPr>
              <w:t>完成人</w:t>
            </w:r>
          </w:p>
        </w:tc>
        <w:tc>
          <w:tcPr>
            <w:tcW w:w="0" w:type="auto"/>
            <w:vAlign w:val="center"/>
          </w:tcPr>
          <w:p>
            <w:pPr>
              <w:adjustRightInd w:val="0"/>
              <w:snapToGrid w:val="0"/>
              <w:jc w:val="center"/>
              <w:rPr>
                <w:rFonts w:ascii="Times New Roman" w:hAnsi="Times New Roman" w:eastAsia="黑体" w:cs="Times New Roman"/>
                <w:sz w:val="20"/>
                <w:szCs w:val="20"/>
              </w:rPr>
            </w:pPr>
            <w:r>
              <w:rPr>
                <w:rFonts w:ascii="Times New Roman" w:hAnsi="Times New Roman" w:eastAsia="黑体" w:cs="Times New Roman"/>
                <w:sz w:val="20"/>
                <w:szCs w:val="20"/>
              </w:rPr>
              <w:t>类型</w:t>
            </w:r>
          </w:p>
        </w:tc>
        <w:tc>
          <w:tcPr>
            <w:tcW w:w="0" w:type="auto"/>
            <w:vAlign w:val="center"/>
          </w:tcPr>
          <w:p>
            <w:pPr>
              <w:adjustRightInd w:val="0"/>
              <w:snapToGrid w:val="0"/>
              <w:jc w:val="center"/>
              <w:rPr>
                <w:rFonts w:ascii="Times New Roman" w:hAnsi="Times New Roman" w:eastAsia="黑体" w:cs="Times New Roman"/>
                <w:sz w:val="20"/>
                <w:szCs w:val="20"/>
              </w:rPr>
            </w:pPr>
            <w:r>
              <w:rPr>
                <w:rFonts w:ascii="Times New Roman" w:hAnsi="Times New Roman" w:eastAsia="黑体" w:cs="Times New Roman"/>
                <w:sz w:val="20"/>
                <w:szCs w:val="20"/>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一种自动玉米播种机</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CN108633400B</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中国</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刘春梅</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一种提高谷子杂交结实率的处理剂及方法</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ZL201910405843.2</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姜丽丽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一种水田全自动智能施肥装置</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ZL 2020 1 0144716.4</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吕艳东</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一种植物抗旱相关蛋白ZmNAC43及其编码基因和应用</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CN109053873B</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贺林</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抗逆相关蛋白Z76在调控植物抗逆性中的应用</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CN108997487B</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贺林</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玉米3-磷酸甘油脱氢酶ZmGPDH1及其编码基因在调控植物耐逆性中的应用</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CN109402077B</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徐晶宇</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一株卓尔贝氏菌属细菌及其在提高植物抗逆性中的应用</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CN109609419B</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殷奎德</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一种提高黄瓜丙醇二酸含量的有机酸施用方法</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ZL2021103966112</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fldChar w:fldCharType="begin"/>
            </w:r>
            <w:r>
              <w:instrText xml:space="preserve"> HYPERLINK "https://cprs.patentstar.com.cn/Search/ResultList?CurrentQuery=5buJ5Y2OL0lO&amp;type=Cn" </w:instrText>
            </w:r>
            <w:r>
              <w:fldChar w:fldCharType="separate"/>
            </w:r>
            <w:r>
              <w:rPr>
                <w:rFonts w:hint="eastAsia"/>
              </w:rPr>
              <w:t>廉华</w:t>
            </w:r>
            <w:r>
              <w:rPr>
                <w:rFonts w:hint="eastAsia"/>
              </w:rPr>
              <w:fldChar w:fldCharType="end"/>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一种提高芹菜叶柄芹菜素含量的微量元素施用方法</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ZL 2021103970917</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马光恕</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甜瓜早花性状主效QTL fft2紧密连锁的分子标记CmSSR02及其应用</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ZL 2021 1 0414 288.7</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盛云燕</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发明专利</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芸豆主要虫害绿色防治技术规程</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DB2306/T  007-2021</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王丽艳</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标准</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白浆土水稻田生物炭应用技术规程</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DB23/T 2852—202</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殷大伟</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标准</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白浆土玉米田生物炭应用技术规程</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DB23/T 2853—2021</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殷大伟</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标准</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酸性土大豆田生物炭应用技术规程</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DB23/T 2859—202</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殷大伟</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标准</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盐碱地水稻田生物炭应用技术规程</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DB23/T 2862—202</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中国</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殷大伟</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标准</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一种盐碱地作物施肥装置</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CN213127090U</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中国</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张明聪</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其他</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0" w:type="auto"/>
            <w:vAlign w:val="center"/>
          </w:tcPr>
          <w:p>
            <w:pPr>
              <w:pStyle w:val="18"/>
              <w:numPr>
                <w:ilvl w:val="0"/>
                <w:numId w:val="4"/>
              </w:numPr>
              <w:adjustRightInd w:val="0"/>
              <w:snapToGrid w:val="0"/>
              <w:ind w:firstLineChars="0"/>
              <w:jc w:val="center"/>
              <w:rPr>
                <w:rFonts w:ascii="Times New Roman" w:hAnsi="Times New Roman" w:eastAsia="楷体" w:cs="Times New Roman"/>
                <w:sz w:val="20"/>
                <w:szCs w:val="20"/>
              </w:rPr>
            </w:pP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一种玉米大豆轮作栽培用翻耕装置</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CN210406124U</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中国</w:t>
            </w:r>
          </w:p>
        </w:tc>
        <w:tc>
          <w:tcPr>
            <w:tcW w:w="0" w:type="auto"/>
            <w:shd w:val="clear" w:color="auto" w:fill="auto"/>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张明聪</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其他</w:t>
            </w:r>
          </w:p>
        </w:tc>
        <w:tc>
          <w:tcPr>
            <w:tcW w:w="0" w:type="auto"/>
            <w:shd w:val="clear" w:color="auto" w:fill="auto"/>
            <w:vAlign w:val="center"/>
          </w:tcPr>
          <w:p>
            <w:pPr>
              <w:rPr>
                <w:rFonts w:ascii="Times New Roman" w:hAnsi="Times New Roman" w:eastAsia="宋体" w:cs="Times New Roman"/>
                <w:sz w:val="20"/>
                <w:szCs w:val="20"/>
              </w:rPr>
            </w:pPr>
            <w:r>
              <w:rPr>
                <w:rFonts w:ascii="Times New Roman" w:hAnsi="Times New Roman" w:cs="Times New Roman"/>
                <w:sz w:val="20"/>
                <w:szCs w:val="20"/>
              </w:rPr>
              <w:t>独立完成</w:t>
            </w:r>
          </w:p>
        </w:tc>
      </w:tr>
    </w:tbl>
    <w:p>
      <w:pPr>
        <w:spacing w:before="163" w:beforeLines="50"/>
        <w:ind w:firstLine="480" w:firstLineChars="200"/>
        <w:rPr>
          <w:rFonts w:ascii="楷体" w:hAnsi="楷体" w:eastAsia="楷体" w:cs="宋体"/>
        </w:rPr>
      </w:pPr>
      <w:r>
        <w:rPr>
          <w:rFonts w:hint="eastAsia" w:ascii="楷体" w:hAnsi="楷体" w:eastAsia="楷体" w:cs="仿宋_GB2312"/>
        </w:rPr>
        <w:t>注：（1）国内外同内容的专利不得重复统计。（2）</w:t>
      </w:r>
      <w:r>
        <w:rPr>
          <w:rFonts w:hint="eastAsia" w:ascii="楷体" w:hAnsi="楷体" w:eastAsia="楷体" w:cs="仿宋_GB2312"/>
          <w:bCs/>
        </w:rPr>
        <w:t>专利：</w:t>
      </w:r>
      <w:r>
        <w:rPr>
          <w:rFonts w:hint="eastAsia" w:ascii="楷体" w:hAnsi="楷体" w:eastAsia="楷体" w:cs="仿宋_GB2312"/>
        </w:rPr>
        <w:t>批准的发明专利，以证书为准。（3）</w:t>
      </w:r>
      <w:r>
        <w:rPr>
          <w:rFonts w:hint="eastAsia" w:ascii="楷体" w:hAnsi="楷体" w:eastAsia="楷体" w:cs="宋体"/>
          <w:bCs/>
        </w:rPr>
        <w:t>完成人：</w:t>
      </w:r>
      <w:r>
        <w:rPr>
          <w:rFonts w:hint="eastAsia" w:ascii="楷体" w:hAnsi="楷体" w:eastAsia="楷体" w:cs="宋体"/>
        </w:rPr>
        <w:t>所有完成人，</w:t>
      </w:r>
      <w:r>
        <w:rPr>
          <w:rFonts w:hint="eastAsia" w:ascii="楷体" w:hAnsi="楷体" w:eastAsia="楷体" w:cs="仿宋_GB2312"/>
        </w:rPr>
        <w:t>排序以证书为准。（4）</w:t>
      </w:r>
      <w:r>
        <w:rPr>
          <w:rFonts w:hint="eastAsia" w:ascii="楷体" w:hAnsi="楷体" w:eastAsia="楷体" w:cs="宋体"/>
          <w:bCs/>
        </w:rPr>
        <w:t>类型：</w:t>
      </w:r>
      <w:r>
        <w:rPr>
          <w:rFonts w:hint="eastAsia" w:ascii="楷体" w:hAnsi="楷体" w:eastAsia="楷体" w:cs="宋体"/>
        </w:rPr>
        <w:t>其他等同于</w:t>
      </w:r>
      <w:r>
        <w:rPr>
          <w:rFonts w:hint="eastAsia" w:ascii="楷体" w:hAnsi="楷体" w:eastAsia="楷体" w:cs="仿宋_GB2312"/>
        </w:rPr>
        <w:t>发明专利的成果，如新药、软件、标准、规范等，在类型栏中标明。（5）</w:t>
      </w:r>
      <w:r>
        <w:rPr>
          <w:rFonts w:hint="eastAsia" w:ascii="楷体" w:hAnsi="楷体" w:eastAsia="楷体" w:cs="宋体"/>
          <w:bCs/>
        </w:rPr>
        <w:t>类别：</w:t>
      </w:r>
      <w:r>
        <w:rPr>
          <w:rFonts w:hint="eastAsia" w:ascii="楷体" w:hAnsi="楷体" w:eastAsia="楷体" w:cs="宋体"/>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2.发表论文、专著情况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94"/>
        <w:gridCol w:w="3971"/>
        <w:gridCol w:w="566"/>
        <w:gridCol w:w="991"/>
        <w:gridCol w:w="991"/>
        <w:gridCol w:w="709"/>
        <w:gridCol w:w="8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adjustRightInd w:val="0"/>
              <w:snapToGrid w:val="0"/>
              <w:jc w:val="center"/>
              <w:rPr>
                <w:rFonts w:ascii="Times New Roman" w:hAnsi="Times New Roman" w:eastAsia="宋体" w:cs="Times New Roman"/>
                <w:sz w:val="20"/>
                <w:szCs w:val="20"/>
              </w:rPr>
            </w:pPr>
            <w:bookmarkStart w:id="103" w:name="_Hlk29975190"/>
            <w:r>
              <w:rPr>
                <w:rFonts w:ascii="Times New Roman" w:hAnsi="Times New Roman" w:eastAsia="宋体" w:cs="Times New Roman"/>
                <w:sz w:val="20"/>
                <w:szCs w:val="20"/>
              </w:rPr>
              <w:t>序号</w:t>
            </w:r>
          </w:p>
        </w:tc>
        <w:tc>
          <w:tcPr>
            <w:tcW w:w="2331" w:type="pct"/>
            <w:vAlign w:val="center"/>
          </w:tcPr>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论文或</w:t>
            </w:r>
          </w:p>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专著名称</w:t>
            </w:r>
          </w:p>
        </w:tc>
        <w:tc>
          <w:tcPr>
            <w:tcW w:w="332" w:type="pct"/>
            <w:vAlign w:val="center"/>
          </w:tcPr>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作者</w:t>
            </w:r>
          </w:p>
        </w:tc>
        <w:tc>
          <w:tcPr>
            <w:tcW w:w="582" w:type="pct"/>
            <w:vAlign w:val="center"/>
          </w:tcPr>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刊物、出版社名称</w:t>
            </w:r>
          </w:p>
        </w:tc>
        <w:tc>
          <w:tcPr>
            <w:tcW w:w="582" w:type="pct"/>
            <w:vAlign w:val="center"/>
          </w:tcPr>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卷、期</w:t>
            </w:r>
          </w:p>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（或章节）、页</w:t>
            </w:r>
          </w:p>
        </w:tc>
        <w:tc>
          <w:tcPr>
            <w:tcW w:w="416" w:type="pct"/>
            <w:vAlign w:val="center"/>
          </w:tcPr>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类型</w:t>
            </w:r>
          </w:p>
        </w:tc>
        <w:tc>
          <w:tcPr>
            <w:tcW w:w="525" w:type="pct"/>
            <w:vAlign w:val="center"/>
          </w:tcPr>
          <w:p>
            <w:pPr>
              <w:tabs>
                <w:tab w:val="left" w:pos="492"/>
              </w:tabs>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Agronomic practices affect rice yield and nitrogen, phosphorus, and potassium accumulation, allocation and translocation</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郭晓红</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JIA</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 xml:space="preserve"> 2020, 112(2): 1238-1249.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Soil water-stable aggregates and microbial community under long-term tillage in black soil of Northern China</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洪艳华</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Ecotoxicology</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30(8) : 1-15.</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Genome-wide identification, characterization and expression analysis of soybean CHYR gene family</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贾博为</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internationnal of molecular science</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 xml:space="preserve"> 2021, 22(22) : 12192-12192.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Wild soybean SNARE proteins BET1s mediate the subcellular localization of the cytoplasmic receptor-like kinases CRCK1s to modulate salt stress responses</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贾博为</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Plant J</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2020, 105(3) : 771-785.</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Response Mechanisms of Plants Under Saline-Alkali Stress</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梁喜龙</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Frontiers in Plant Science</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12 : 667458-667458.</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Genome-wide identification, characterization and expression analysis of soybean CHYR gene family</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孙明哲</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Intern J Mol Sci</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22(22) : 12192-12192.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Mapping quantitative trait loci related to nodule number in soybean (Glycine max (L.) Merr.) in response to the Sinorhizobium (Ensifer) fredii HH103 NopT type III effector</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孙晓丽</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J Plant Interact</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16(1) : 126-135.</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Membrane Lipids' Metabolism and Transcriptional Regulation in Maize Roots under Cold Stress</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Frontiers in Plant Science</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12 : 639132-639132.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The Adjustment of Membrane Lipid Metabolism Pathways in Maize Roots Under Saline–Alkaline Stress</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Journal of Integrative Plant Biology</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12: 635327-635327.</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nhanced production of seed oil with improved fatty acid composition by overexpressing NAD+ -dependent glycerol-3-phosphate dehydrogenase in soybean</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Journal of Integrative Plant Biology</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63(6): 1036-1053.</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Optimised production of protein elicitor AMEP412 by Bacillus subtilis BU412 through response surface methodology</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殷奎德</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Biotechnology &amp; Biotechnological Equipment</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2021,35(1):1058-1064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Alkalinity gradients in grasslands alter soil bacterial community composition and function</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殷奎德</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Soil Science Society of America Journal</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2021,85(2):286-298</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Effects of soaking seeds in exogenous vitamins on active oxygen metabolism and seedling growth under low-temperature stress</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赵长江</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Saudi Journal of Biological Sciences</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2021.28（6）3254-3261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Effect of water-nitrogen coupling on yield and water use effeciency of kidney bean</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王孟雪</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Fresenius Environmental Bulletin</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2021,6(30):6516-6529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Dry matter accumulation and phosphorus utilization efficiency in sugar beet (Beta vulgaris L.) under varied irrigation and phosphorus supply</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王宁</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Intl J Agric Biol</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2021.02,25:513</w:t>
            </w:r>
            <w:r>
              <w:rPr>
                <w:rFonts w:ascii="Times New Roman" w:hAnsi="Times New Roman" w:eastAsia="MS Gothic" w:cs="Times New Roman"/>
                <w:sz w:val="20"/>
                <w:szCs w:val="20"/>
              </w:rPr>
              <w:t>‒</w:t>
            </w:r>
            <w:r>
              <w:rPr>
                <w:rFonts w:ascii="Times New Roman" w:hAnsi="Times New Roman" w:eastAsia="宋体" w:cs="Times New Roman"/>
                <w:sz w:val="20"/>
                <w:szCs w:val="20"/>
              </w:rPr>
              <w:t>520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Molecular mechanism of negative pressure irrigation inhibiting root growth and improving water use efficiency in maize.</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王鹏</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Plant Soil</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 xml:space="preserve"> 2021(prepublish)</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Transcriptome analysis reveals the molecular mechanism of yield increases in maize under stable soil water supply</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王鹏</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PLOS ONE</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2021,16(9):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Effects of irrigation and nitrogen on chlorophyll content, dry matter and nitrogen accumulation in sugar</w:t>
            </w:r>
            <w:r>
              <w:rPr>
                <w:rFonts w:ascii="Times New Roman" w:hAnsi="Times New Roman" w:eastAsia="宋体" w:cs="Times New Roman"/>
                <w:sz w:val="20"/>
                <w:szCs w:val="20"/>
              </w:rPr>
              <w:br w:type="textWrapping"/>
            </w:r>
            <w:r>
              <w:rPr>
                <w:rFonts w:ascii="Times New Roman" w:hAnsi="Times New Roman" w:eastAsia="宋体" w:cs="Times New Roman"/>
                <w:sz w:val="20"/>
                <w:szCs w:val="20"/>
              </w:rPr>
              <w:t>beet (Beta vulgaris L.)</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王鹏</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Scientific Reports</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2021,11(1):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Exogenous application of melatonin may contribute to enhancement of soybean drought tolerance via its effects on glucose metabolism</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曹亮</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Biotechnology and Biotechnological Equipment</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w:t>
            </w:r>
            <w:r>
              <w:rPr>
                <w:rFonts w:ascii="Times New Roman" w:hAnsi="Times New Roman" w:eastAsia="宋体" w:cs="Times New Roman"/>
                <w:color w:val="000000"/>
                <w:sz w:val="20"/>
                <w:szCs w:val="20"/>
              </w:rPr>
              <w:t>，35(1), 964–976.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Effect of Exogenous Melatonin on the Quality of Soybean and Natto Products under Drought Stress</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曹亮</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Journal of Chemistry</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Trichoderma asperellum alters fungal community composition in saline–alkaline soil maize rhizospheres</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付健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Soil Science Society of America Journal</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w:t>
            </w:r>
            <w:r>
              <w:rPr>
                <w:rFonts w:ascii="Times New Roman" w:hAnsi="Times New Roman" w:eastAsia="宋体" w:cs="Times New Roman"/>
                <w:color w:val="000000"/>
                <w:sz w:val="20"/>
                <w:szCs w:val="20"/>
              </w:rPr>
              <w:t>，85(4), 1091–1104.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Saline–alkaline stress in growing maize seedlings is alleviated byTrichoderma asperellum through regulation of the soil environment</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付健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Scientific Reports</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2021,11(1)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Tuber Yield and French Fry Processing Quality Response of Potatoes to Nitrogen Rate</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姜丽丽</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Potato Research</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网络首发2021.9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Impact of Different Biochars on Microbial Community</w:t>
            </w:r>
            <w:r>
              <w:rPr>
                <w:rFonts w:ascii="Times New Roman" w:hAnsi="Times New Roman" w:eastAsia="宋体" w:cs="Times New Roman"/>
                <w:sz w:val="20"/>
                <w:szCs w:val="20"/>
              </w:rPr>
              <w:br w:type="textWrapping"/>
            </w:r>
            <w:r>
              <w:rPr>
                <w:rFonts w:ascii="Times New Roman" w:hAnsi="Times New Roman" w:eastAsia="宋体" w:cs="Times New Roman"/>
                <w:sz w:val="20"/>
                <w:szCs w:val="20"/>
              </w:rPr>
              <w:t>Structure in the Rhizospheric Soil of Rice Grown in Albic Soil</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李红宇</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Molecules</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2021,26(16)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Effects of nitrogen application rate and hill density on rice yield and nitrogen utilization in sodic saline–alkaline paddy fields</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吕艳东</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Journal of Integrative Agriculture</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 20(2): 540–553</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Gradual Application of Potassium Fertilizer Elevated the Sugar Conversion Mechanism and Yield of Waxy and Sweet Fresh-Eaten Maize in the Semiarid Cold Region</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王玉凤</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Journal of Food Quality</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Effects of tillage methods on soil physical properties and maize growth in a saline–alkali soil</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王玉凤</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Crop Science</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Impact of Different Biochars on Microbial Community</w:t>
            </w:r>
            <w:r>
              <w:rPr>
                <w:rFonts w:ascii="Times New Roman" w:hAnsi="Times New Roman" w:eastAsia="宋体" w:cs="Times New Roman"/>
                <w:sz w:val="20"/>
                <w:szCs w:val="20"/>
              </w:rPr>
              <w:br w:type="textWrapping"/>
            </w:r>
            <w:r>
              <w:rPr>
                <w:rFonts w:ascii="Times New Roman" w:hAnsi="Times New Roman" w:eastAsia="宋体" w:cs="Times New Roman"/>
                <w:sz w:val="20"/>
                <w:szCs w:val="20"/>
              </w:rPr>
              <w:t>Structure in the Rhizospheric Soil of Rice Grown in Albic Soil</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殷大伟</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Molecules</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2021,26(16)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 xml:space="preserve">A simple new method for aged seed utilization </w:t>
            </w:r>
            <w:r>
              <w:rPr>
                <w:rFonts w:ascii="Times New Roman" w:hAnsi="Times New Roman" w:eastAsia="宋体" w:cs="Times New Roman"/>
                <w:sz w:val="20"/>
                <w:szCs w:val="20"/>
              </w:rPr>
              <w:br w:type="textWrapping"/>
            </w:r>
            <w:r>
              <w:rPr>
                <w:rFonts w:ascii="Times New Roman" w:hAnsi="Times New Roman" w:eastAsia="宋体" w:cs="Times New Roman"/>
                <w:sz w:val="20"/>
                <w:szCs w:val="20"/>
              </w:rPr>
              <w:t>based on melatonin</w:t>
            </w:r>
            <w:r>
              <w:rPr>
                <w:rFonts w:ascii="Times New Roman" w:hAnsi="Times New Roman" w:eastAsia="宋体" w:cs="Times New Roman"/>
                <w:sz w:val="20"/>
                <w:szCs w:val="20"/>
              </w:rPr>
              <w:noBreakHyphen/>
            </w:r>
            <w:r>
              <w:rPr>
                <w:rFonts w:ascii="Times New Roman" w:hAnsi="Times New Roman" w:eastAsia="宋体" w:cs="Times New Roman"/>
                <w:sz w:val="20"/>
                <w:szCs w:val="20"/>
              </w:rPr>
              <w:t>mediated germination and antioxidant nutrient production</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于崧</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scientific reports</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2021,11(1):5937</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Membrane Lipids’ Metabolism and Transcriptional Regulation in Maize Roots Under Cold Stress</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张翼飞</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Frontiers in Plant Science</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2021,15(12)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Physiological and UPLC-MS/MS widely targeted metabolites mechanisms of alleviation of drought stress-induced soybean growth inhibition by melatonin</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Industrial Crops &amp; Products</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2021, 163</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The mechanisms underlying melatonin improved soybean</w:t>
            </w:r>
            <w:r>
              <w:rPr>
                <w:rFonts w:ascii="Times New Roman" w:hAnsi="Times New Roman" w:eastAsia="宋体" w:cs="Times New Roman"/>
                <w:sz w:val="20"/>
                <w:szCs w:val="20"/>
              </w:rPr>
              <w:br w:type="textWrapping"/>
            </w:r>
            <w:r>
              <w:rPr>
                <w:rFonts w:ascii="Times New Roman" w:hAnsi="Times New Roman" w:eastAsia="宋体" w:cs="Times New Roman"/>
                <w:sz w:val="20"/>
                <w:szCs w:val="20"/>
              </w:rPr>
              <w:t>seedling growth at different nitrogen levels</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Functional plant biology</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w:t>
            </w:r>
            <w:r>
              <w:rPr>
                <w:rFonts w:ascii="Times New Roman" w:hAnsi="Times New Roman" w:eastAsia="宋体" w:cs="Times New Roman"/>
                <w:color w:val="000000"/>
                <w:sz w:val="20"/>
                <w:szCs w:val="20"/>
              </w:rPr>
              <w:t>，48(12):1225-1240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The molecular characteristics of soybean ARR-B transcription factors</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Biocell</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2021.11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Transcriptome-based analysis of salt-related genes during the sprout stage of common bean (Phaseolus vulgaris) under salt stress condition</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杜吉到</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BIOTECHNOLOGY &amp; BIOTECHNOLOGICAL EQUIPMENT</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2021,35(1):1086-1098</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Genome-Wide Identification Reveals the Potential Functions of the bZIP Gene Family in Common Bean (Phaseolus vulgaris) in Response to Salt Stress During the Sprouting Stage</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杜吉到</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JOURNAL OF PLANT GROWTH REGULATION</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2021:1-16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SCI(E)</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Reference Genes for Quantitative Real-Time PCR Analysis of Gene Expression in Mung Bean under Abiotic Stress and Cercospora canescens Infection</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柯希望</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Legume Research</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2021，44（6）:646-651</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SCI(E)</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N-acetyltransferase gene NATA1 from Vigna angularis confers resistance against Uromyces vignae infection</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殷丽华</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Physiological and Molecular Plant Pathology</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2021，113：101585</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SCI(E)</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Ef</w:t>
            </w:r>
            <w:r>
              <w:rPr>
                <w:rFonts w:ascii="Times New Roman" w:hAnsi="Times New Roman" w:eastAsia="MS Gothic" w:cs="Times New Roman"/>
                <w:color w:val="000000"/>
                <w:sz w:val="20"/>
                <w:szCs w:val="20"/>
              </w:rPr>
              <w:t>ﬁ</w:t>
            </w:r>
            <w:r>
              <w:rPr>
                <w:rFonts w:ascii="Times New Roman" w:hAnsi="Times New Roman" w:eastAsia="宋体" w:cs="Times New Roman"/>
                <w:color w:val="000000"/>
                <w:sz w:val="20"/>
                <w:szCs w:val="20"/>
              </w:rPr>
              <w:t>cacy of Bacillus megaterium strain Sneb207 against soybean cyst nematode (Heterodera glycines) in soybean</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周园园</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Pest Management Science</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77(1):568-576</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SCI(E)</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Characterization of virulence phenotypes of Heterodera glycines in Heilongjiang, Northeast China</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周园园</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plant disease</w:t>
            </w:r>
          </w:p>
        </w:tc>
        <w:tc>
          <w:tcPr>
            <w:tcW w:w="582" w:type="pct"/>
            <w:vAlign w:val="center"/>
          </w:tcPr>
          <w:p>
            <w:pPr>
              <w:rPr>
                <w:rFonts w:ascii="Times New Roman" w:hAnsi="Times New Roman" w:eastAsia="宋体" w:cs="Times New Roman"/>
                <w:sz w:val="20"/>
                <w:szCs w:val="20"/>
              </w:rPr>
            </w:pPr>
            <w:r>
              <w:fldChar w:fldCharType="begin"/>
            </w:r>
            <w:r>
              <w:instrText xml:space="preserve"> HYPERLINK "https://doi.org/10.1094/PDIS-04-20-0820-SR" </w:instrText>
            </w:r>
            <w:r>
              <w:fldChar w:fldCharType="separate"/>
            </w:r>
            <w:r>
              <w:rPr>
                <w:rStyle w:val="12"/>
                <w:rFonts w:ascii="Times New Roman" w:hAnsi="Times New Roman" w:eastAsia="宋体" w:cs="Times New Roman"/>
                <w:color w:val="000000"/>
                <w:sz w:val="20"/>
                <w:szCs w:val="20"/>
              </w:rPr>
              <w:t>https://doi.org/10.1094/PDIS-04-20-0820-SR</w:t>
            </w:r>
            <w:r>
              <w:rPr>
                <w:rStyle w:val="12"/>
                <w:rFonts w:ascii="Times New Roman" w:hAnsi="Times New Roman" w:eastAsia="宋体" w:cs="Times New Roman"/>
                <w:color w:val="000000"/>
                <w:sz w:val="20"/>
                <w:szCs w:val="20"/>
              </w:rPr>
              <w:fldChar w:fldCharType="end"/>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SCI(E)</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Identification of major QTLs and candidate genes for pod and seed weight per plant in soybean.</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左豫虎</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Crop &amp; Pasture Science</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,72(6): 434-442</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SCI(E)</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五种植物源农药对食用菌生产中脉孢霉抑制效果研究</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赵长江</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西北农业学报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2021,30(08):1255-1262.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不同有机肥对旱直播水稻干物质积累和产量的影响</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郭晓红</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华北农学报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2021,36(02):188-195.</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旱直播对水稻穗部性状、产量和经济效益的影响</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郭晓红</w:t>
            </w:r>
          </w:p>
        </w:tc>
        <w:tc>
          <w:tcPr>
            <w:tcW w:w="582" w:type="pct"/>
            <w:vAlign w:val="center"/>
          </w:tcPr>
          <w:p>
            <w:pPr>
              <w:spacing w:after="240"/>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 xml:space="preserve">干旱地区农业研究 </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2021,39(05):186-192.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 xml:space="preserve">氮肥运筹对苏打盐碱地水稻养分积累、转运及分配的影响 </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郭晓红</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 xml:space="preserve">干旱地区农业研究 </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2021,39(01):103-111.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水条播下寒地水稻适应品种及其评价指标的筛选</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郭晓红</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东北农业科学</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2021,46(05):12-17</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 xml:space="preserve">玉米中低温应答 ERF 基因鉴定及表达分析 </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贺林</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分子植物育种</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1-15[2021-12-24].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拟南芥蔗糖合成酶基因AtSUS响应非生物胁迫功能分析</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贾博为</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植物生理学报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2021,57(02):461-472.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水稻CHYR家族全基因组鉴定与表达分析</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贾博为</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分子植物育种</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1-13[2021-12-24]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大豆DNA脱甲基化酶相关基因的克隆及连作胁迫应答</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梁喜龙</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干旱地区农业研究</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2021,39(01):82-86+127.</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水稻AP2/ERF转录因子参与逆境胁迫应答的分子机制研究进展</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孙晓丽</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作物学报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1-12[2021-12-24].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野生大豆耐逆分子调控机制研究进展</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孙晓丽</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植物学报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2021,56(01):104-115.</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低磷胁迫下玉米幼苗生理响应及相关基因表达研究</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玉米科学</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2021,29(01):77-84.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玉米rboh基因家族鉴定及非生物逆境表达分析</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玉米科学</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2021,29(04):43-50.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低温胁迫下高粱幼苗叶片生理变化及相关基因表达分析</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农业生物技术学报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2021,29(05):857-870.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玉米KNOX基因家族鉴定及组织和逆境表达分析</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西北植物学报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2021,41(07):1109-1119.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增强UV-B辐射对立枯丝核菌抗氧化酶及细胞壁降解酶活性影响研究</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植物病理学报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2021,51(04):549-558</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拟南芥及玉米过氧化氢酶基因家族生物信息学分析</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分子植物育种</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1-10[2021-12-24].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啶酰菌胺对向日葵核盘菌生物活性的影响</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徐晶宇</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农学学报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2021,11(01):71-74+90.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长期定位不同施肥类型对烟田土壤nifH细菌群落结构的影响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蒋雨洲</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中国烟草学报</w:t>
            </w:r>
          </w:p>
        </w:tc>
        <w:tc>
          <w:tcPr>
            <w:tcW w:w="582" w:type="pct"/>
            <w:vAlign w:val="center"/>
          </w:tcPr>
          <w:p>
            <w:pPr>
              <w:rPr>
                <w:rFonts w:ascii="Times New Roman" w:hAnsi="Times New Roman" w:eastAsia="宋体" w:cs="Times New Roman"/>
                <w:sz w:val="20"/>
                <w:szCs w:val="20"/>
              </w:rPr>
            </w:pPr>
            <w:r>
              <w:fldChar w:fldCharType="begin"/>
            </w:r>
            <w:r>
              <w:instrText xml:space="preserve"> HYPERLINK "https://www.wanfangdata.com.cn/perio/detail.do?perio_id=zgycxb&amp;perio_title=%E4%B8%AD%E5%9B%BD%E7%83%9F%E8%8D%89%E5%AD%A6%E6%8A%A5&amp;publish_year=2021&amp;issue_num=3&amp;tabId=article" </w:instrText>
            </w:r>
            <w:r>
              <w:fldChar w:fldCharType="separate"/>
            </w:r>
            <w:r>
              <w:rPr>
                <w:rFonts w:ascii="Times New Roman" w:hAnsi="Times New Roman" w:cs="Times New Roman"/>
                <w:sz w:val="20"/>
                <w:szCs w:val="20"/>
              </w:rPr>
              <w:t>2021, 27(3)：35-45</w:t>
            </w:r>
            <w:r>
              <w:rPr>
                <w:rFonts w:ascii="Times New Roman" w:hAnsi="Times New Roman" w:cs="Times New Roman"/>
                <w:sz w:val="20"/>
                <w:szCs w:val="20"/>
              </w:rPr>
              <w:fldChar w:fldCharType="end"/>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腐植酸浸种对低温胁迫下玉米幼苗抗氧化系统的影响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孙海燕</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生态学报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2021,41(13):5385-5397.</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秸秆还田条件下尿素与腐植酸配施对玉米养分吸收、土壤养分及酶活性的影响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孙海燕</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中国土壤与肥料</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2021（03）:102-109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水肥一体化对烤烟生长与养分吸收的影响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王鹏</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陕西农业科学</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2021,67(02):17-22+29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烤烟品种CC27与NC297栽培适应性试验</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王鹏</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四川农业科学</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2021(07):23-26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土层置换及土壤培肥对石灰性黑钙土土壤水溶性盐离子的影响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辛刚</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西南农业学报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2021，8（4）：798-805</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外源褪黑素对干旱胁迫下春大豆品种绥农26形态、光合生理及产量的影响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张明聪</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2021,47(09):1791-1805.</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施用改良剂对苏打盐化草甸土土壤性状及水稻产量的影响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张明聪</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土壤通报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2021,52(03):658-669.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玉－鹅种养模式下土壤养分及土壤细菌群落功能多样性研究</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张兴梅</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干旱地区农业研究</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2021,39（2）:1-9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玉鹅种养模式对玉米生长、养分积累及产量的影响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张兴梅</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河南农业科学</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2021,50(6):28-36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耐盐碱细菌 DQSA1 的分离鉴定及盐碱胁迫下对绿豆的促生作用</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张兴梅</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微生物学通报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2021,48(8):2653-2664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不同富硒酵母对水稻硒吸收分配和品质的影响</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张有利</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中国土壤与肥料</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2021(03):214-219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外源褪黑素对干旱胁迫下绥农</w:t>
            </w:r>
            <w:r>
              <w:rPr>
                <w:rFonts w:ascii="Times New Roman" w:hAnsi="Times New Roman" w:eastAsia="宋体" w:cs="Times New Roman"/>
                <w:color w:val="000000"/>
                <w:sz w:val="20"/>
                <w:szCs w:val="20"/>
              </w:rPr>
              <w:t>26大豆鼓粒期叶片碳氮代谢调控的途径分析</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曹亮</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br w:type="textWrapping"/>
            </w:r>
            <w:r>
              <w:rPr>
                <w:rFonts w:ascii="Times New Roman" w:hAnsi="Times New Roman" w:eastAsia="宋体" w:cs="Times New Roman"/>
                <w:sz w:val="20"/>
                <w:szCs w:val="20"/>
              </w:rPr>
              <w:t>2021, 47(9)</w:t>
            </w:r>
            <w:r>
              <w:rPr>
                <w:rFonts w:ascii="Times New Roman" w:hAnsi="Times New Roman" w:eastAsia="宋体" w:cs="Times New Roman"/>
                <w:color w:val="000000"/>
                <w:sz w:val="20"/>
                <w:szCs w:val="20"/>
              </w:rPr>
              <w:t>：1779-1790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老化处理对不同活力玉米种子萌发期及幼苗期生长的影响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高树仁</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种子</w:t>
            </w:r>
          </w:p>
        </w:tc>
        <w:tc>
          <w:tcPr>
            <w:tcW w:w="582" w:type="pct"/>
            <w:vAlign w:val="bottom"/>
          </w:tcPr>
          <w:p>
            <w:pPr>
              <w:rPr>
                <w:rFonts w:ascii="Times New Roman" w:hAnsi="Times New Roman" w:eastAsia="宋体" w:cs="Times New Roman"/>
                <w:sz w:val="20"/>
                <w:szCs w:val="20"/>
              </w:rPr>
            </w:pPr>
            <w:r>
              <w:rPr>
                <w:rFonts w:ascii="Times New Roman" w:hAnsi="Times New Roman" w:eastAsia="宋体" w:cs="Times New Roman"/>
                <w:sz w:val="20"/>
                <w:szCs w:val="20"/>
              </w:rPr>
              <w:t>2021,40(05),39-44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黑龙江省部分玉米杂交种的综合评价</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高树仁</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作物杂志</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2021,(04),46-50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amiRNA</w:t>
            </w:r>
            <w:r>
              <w:rPr>
                <w:rFonts w:ascii="Times New Roman" w:hAnsi="Times New Roman" w:eastAsia="宋体" w:cs="Times New Roman"/>
                <w:color w:val="000000"/>
                <w:sz w:val="20"/>
                <w:szCs w:val="20"/>
              </w:rPr>
              <w:t>介导的兼抗PVX、PVY、PSTVd马铃薯植株获得及抗性鉴定</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姜丽丽</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华北农学报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2021,36(03),195-202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马铃薯淀粉及粒径大小对糊化特性的影响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金光辉</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食品科技</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马铃薯品系淀粉与产量表现稳定性分析</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金光辉</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作物杂志</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2021 </w:t>
            </w:r>
            <w:r>
              <w:rPr>
                <w:rFonts w:ascii="Times New Roman" w:hAnsi="Times New Roman" w:eastAsia="宋体" w:cs="Times New Roman"/>
                <w:color w:val="000000"/>
                <w:sz w:val="20"/>
                <w:szCs w:val="20"/>
              </w:rPr>
              <w:t>（6） ： 51-57</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寒地粳稻抗旱性鉴定指标筛选及综合评价</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李红宇</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西南农业学报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2021,34(06),1138-1145</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秸秆连续还田对苏打盐碱水稻土养分及真菌群落的影响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李红宇</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干旱地区农业研究</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 39(2):15-23</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点深施肥对寒地水稻产量品质及氮肥利用率的影响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李红宇</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华北农学报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2021,36(01),159-168</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寒地水稻分蘖期耐盐碱性筛选与评价</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李红宇</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南方农业学报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2021,52(01):28-36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不同除草剂对寒地水稻穗部性状及产量和品质的影响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刘丽华</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南方农业学报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2021,52(01),115-122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氮肥运筹对苏打盐碱地水稻养分积累、转运及产量的影响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吕艳东</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干旱地区农业研究</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2021,39(01),103-111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萌发期耐莠去津谷子种质资源筛选及评价</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苗兴芬</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作物杂志</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2021,(05),194-204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秸秆还田下氮钾配施对寒地水稻抗倒伏性能的影响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钱永德</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河南农业科学</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2021,50(03),17-24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磷对盐胁迫下玉米幼苗脂质过氧化特性及抗氧化酶活性的影响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王玉凤</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玉米科学</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2021,29(02),69-74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盐碱胁迫对芸豆根系分泌物组分及含量的影响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于崧</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北方园艺</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2021(17):90-96</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绿豆</w:t>
            </w:r>
            <w:r>
              <w:rPr>
                <w:rFonts w:ascii="Times New Roman" w:hAnsi="Times New Roman" w:eastAsia="宋体" w:cs="Times New Roman"/>
                <w:color w:val="000000"/>
                <w:sz w:val="20"/>
                <w:szCs w:val="20"/>
              </w:rPr>
              <w:t>Dof家族基因的生物信息学分析及盐胁迫下的表达模式分析</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张文慧</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西南农业学报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 34(6):1173-1180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叶面喷施硅肥对寒地玉米干物质积累分配及产量品质的调控效应</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张翼飞</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作物杂志</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2021,(04),112-117</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外源褪黑素对干旱胁迫下春大豆品种绥农</w:t>
            </w:r>
            <w:r>
              <w:rPr>
                <w:rFonts w:ascii="Times New Roman" w:hAnsi="Times New Roman" w:eastAsia="宋体" w:cs="Times New Roman"/>
                <w:color w:val="000000"/>
                <w:sz w:val="20"/>
                <w:szCs w:val="20"/>
              </w:rPr>
              <w:t>26形态、光合生理及产量的影响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2021,47(09),1791-1805</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外源褪黑素对干旱胁迫下绥农</w:t>
            </w:r>
            <w:r>
              <w:rPr>
                <w:rFonts w:ascii="Times New Roman" w:hAnsi="Times New Roman" w:eastAsia="宋体" w:cs="Times New Roman"/>
                <w:color w:val="000000"/>
                <w:sz w:val="20"/>
                <w:szCs w:val="20"/>
              </w:rPr>
              <w:t>26大豆鼓粒期叶片碳氮代谢调控的途径分析</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2021,47(09),1779-1790</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外源褪黑素对高氮下大豆氮代谢及生长发育的影响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中国油料作物学报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2021,43(05),872-882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黑龙江大豆</w:t>
            </w:r>
            <w:r>
              <w:rPr>
                <w:rFonts w:ascii="Times New Roman" w:hAnsi="Times New Roman" w:eastAsia="宋体" w:cs="Times New Roman"/>
                <w:color w:val="000000"/>
                <w:sz w:val="20"/>
                <w:szCs w:val="20"/>
              </w:rPr>
              <w:t>-玉米轮作体系氮磷调控的产量效应与养分平衡</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中国土壤与肥料</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2021,(01),44-52</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施用改良剂对苏打盐化草甸土土壤性状及水稻产量的影响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中国土壤通报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2021,52(03)</w:t>
            </w:r>
            <w:r>
              <w:rPr>
                <w:rFonts w:ascii="Times New Roman" w:hAnsi="Times New Roman" w:eastAsia="宋体" w:cs="Times New Roman"/>
                <w:color w:val="000000"/>
                <w:sz w:val="20"/>
                <w:szCs w:val="20"/>
              </w:rPr>
              <w:t>：658-669</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外源褪黑素对红小豆光合荧光特性及产量的影响</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张玉先</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作物杂志</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2021,(06)</w:t>
            </w:r>
            <w:r>
              <w:rPr>
                <w:rFonts w:ascii="Times New Roman" w:hAnsi="Times New Roman" w:eastAsia="宋体" w:cs="Times New Roman"/>
                <w:color w:val="000000"/>
                <w:sz w:val="20"/>
                <w:szCs w:val="20"/>
              </w:rPr>
              <w:t>： 88-94</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北大中核心</w:t>
            </w:r>
          </w:p>
        </w:tc>
        <w:tc>
          <w:tcPr>
            <w:tcW w:w="525"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合作完成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工业大麻乙醇提取物对大豆胞囊线虫生理生化代谢的影响</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李海燕</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中国油料作物学报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DOI:10.19802/j.issn.1007-9084.2020334.</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啶酰菌胺与咪鲜胺复配对核盘菌的联合毒力测定</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李海燕</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中国油料作物学报</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DOI:10.19802/j.issn.1007-9084.2021230.</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黑龙江省西部草原蝗虫田间种群的抗药性检测及治理</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金永玲</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植物保护学报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2021,48（1）：228-236</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大垫尖翅蝗对丁烯氟虫腈的抗性选育和现实遗传力分析</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金永玲</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植物保护学报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2021,48（1）：243-244</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水稻抗稻瘟病基因研究进展</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靳学慧</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分子植物育种</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1-11[2021-12-27]</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黑龙江省粳稻品种稻瘟病主效抗性基因鉴定与抗性评价</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靳学慧</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作物杂志</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2021(04):59-66</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color w:val="000000"/>
                <w:sz w:val="20"/>
                <w:szCs w:val="20"/>
              </w:rPr>
              <w:t>解磷菌DQ-N对大豆种子萌发及苗期生长的影响</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林志伟</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大豆科学</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2021，40（5）：676-681</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水稻穗褐变病主要病原菌侵染时期及致病力研究</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台莲梅</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植物保护</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2021,47(5):152-157</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马铃薯疮痴病菌Streptomyces scabies拮抗细菌筛选及鉴定</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台莲梅</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河南农业科学</w:t>
            </w:r>
          </w:p>
        </w:tc>
        <w:tc>
          <w:tcPr>
            <w:tcW w:w="582" w:type="pct"/>
            <w:vAlign w:val="center"/>
          </w:tcPr>
          <w:p>
            <w:pPr>
              <w:rPr>
                <w:rFonts w:ascii="Times New Roman" w:hAnsi="Times New Roman" w:eastAsia="宋体" w:cs="Times New Roman"/>
                <w:color w:val="000000"/>
                <w:sz w:val="20"/>
                <w:szCs w:val="20"/>
              </w:rPr>
            </w:pPr>
            <w:r>
              <w:fldChar w:fldCharType="begin"/>
            </w:r>
            <w:r>
              <w:instrText xml:space="preserve"> HYPERLINK "https://kns.cnki.net/kcms/detail/41.1092.S.20211119.1651.0%20l0.htm1" </w:instrText>
            </w:r>
            <w:r>
              <w:fldChar w:fldCharType="separate"/>
            </w:r>
            <w:r>
              <w:rPr>
                <w:rStyle w:val="12"/>
                <w:rFonts w:ascii="Times New Roman" w:hAnsi="Times New Roman" w:eastAsia="宋体" w:cs="Times New Roman"/>
                <w:color w:val="000000"/>
                <w:sz w:val="20"/>
                <w:szCs w:val="20"/>
              </w:rPr>
              <w:t>1-12[2021-12-29]</w:t>
            </w:r>
            <w:r>
              <w:rPr>
                <w:rStyle w:val="12"/>
                <w:rFonts w:ascii="Times New Roman" w:hAnsi="Times New Roman" w:eastAsia="宋体" w:cs="Times New Roman"/>
                <w:color w:val="000000"/>
                <w:sz w:val="20"/>
                <w:szCs w:val="20"/>
              </w:rPr>
              <w:fldChar w:fldCharType="end"/>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color w:val="000000"/>
                <w:sz w:val="20"/>
                <w:szCs w:val="20"/>
              </w:rPr>
              <w:t>马铃薯疮痴病菌,Streptomyces scabies拮抗细菌的筛选及B KS 104鉴定</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台莲梅</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微生物学通报</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2021,48(11):4145-4155</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红小豆苗期叶片形态特征与红叶满虫口密度的相关性分析</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王丽艳</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中国植保导刊</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2021，41（4）：22-28</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减量用药结合助剂防治春小麦根腐病的效果</w:t>
            </w:r>
          </w:p>
        </w:tc>
        <w:tc>
          <w:tcPr>
            <w:tcW w:w="33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左豫虎</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中国植保导刊</w:t>
            </w:r>
          </w:p>
        </w:tc>
        <w:tc>
          <w:tcPr>
            <w:tcW w:w="582"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 41(01): 82-85</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北大中核心</w:t>
            </w:r>
          </w:p>
        </w:tc>
        <w:tc>
          <w:tcPr>
            <w:tcW w:w="52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生物炭基肥替代化肥减施技术的初步研究</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殷大伟</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东北林业大学出版社</w:t>
            </w:r>
          </w:p>
        </w:tc>
        <w:tc>
          <w:tcPr>
            <w:tcW w:w="582" w:type="pct"/>
            <w:vAlign w:val="bottom"/>
          </w:tcPr>
          <w:p>
            <w:pPr>
              <w:rPr>
                <w:rFonts w:ascii="Times New Roman" w:hAnsi="Times New Roman" w:eastAsia="宋体" w:cs="Times New Roman"/>
                <w:sz w:val="20"/>
                <w:szCs w:val="20"/>
              </w:rPr>
            </w:pPr>
            <w:r>
              <w:rPr>
                <w:rFonts w:ascii="Times New Roman" w:hAnsi="Times New Roman" w:eastAsia="宋体" w:cs="Times New Roman"/>
                <w:sz w:val="20"/>
                <w:szCs w:val="20"/>
              </w:rPr>
              <w:t>2021</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中文专著</w:t>
            </w:r>
          </w:p>
        </w:tc>
        <w:tc>
          <w:tcPr>
            <w:tcW w:w="525" w:type="pct"/>
            <w:vAlign w:val="center"/>
          </w:tcPr>
          <w:p>
            <w:pPr>
              <w:rPr>
                <w:rFonts w:ascii="Times New Roman" w:hAnsi="Times New Roman" w:eastAsia="宋体" w:cs="Times New Roman"/>
                <w:sz w:val="20"/>
                <w:szCs w:val="20"/>
              </w:rPr>
            </w:pPr>
            <w:r>
              <w:rPr>
                <w:rFonts w:hint="eastAsia"/>
                <w:sz w:val="22"/>
                <w:szCs w:val="22"/>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关于北方粳稻育种若干问题的探讨</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李红宇</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中国农业科技出版社</w:t>
            </w:r>
          </w:p>
        </w:tc>
        <w:tc>
          <w:tcPr>
            <w:tcW w:w="582" w:type="pct"/>
            <w:vAlign w:val="bottom"/>
          </w:tcPr>
          <w:p>
            <w:pPr>
              <w:rPr>
                <w:rFonts w:ascii="Times New Roman" w:hAnsi="Times New Roman" w:eastAsia="宋体" w:cs="Times New Roman"/>
                <w:sz w:val="20"/>
                <w:szCs w:val="20"/>
              </w:rPr>
            </w:pPr>
            <w:r>
              <w:rPr>
                <w:rFonts w:ascii="Times New Roman" w:hAnsi="Times New Roman" w:eastAsia="宋体" w:cs="Times New Roman"/>
                <w:sz w:val="20"/>
                <w:szCs w:val="20"/>
              </w:rPr>
              <w:t>2021.07</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中文专著</w:t>
            </w:r>
          </w:p>
        </w:tc>
        <w:tc>
          <w:tcPr>
            <w:tcW w:w="525" w:type="pct"/>
            <w:vAlign w:val="center"/>
          </w:tcPr>
          <w:p>
            <w:pPr>
              <w:rPr>
                <w:rFonts w:ascii="Times New Roman" w:hAnsi="Times New Roman" w:eastAsia="宋体" w:cs="Times New Roman"/>
                <w:sz w:val="20"/>
                <w:szCs w:val="20"/>
              </w:rPr>
            </w:pPr>
            <w:r>
              <w:rPr>
                <w:rFonts w:hint="eastAsia"/>
                <w:sz w:val="22"/>
                <w:szCs w:val="22"/>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生物炭基肥作物化肥减施技术创新与实践</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李红宇</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东北林业大学出版社</w:t>
            </w:r>
          </w:p>
        </w:tc>
        <w:tc>
          <w:tcPr>
            <w:tcW w:w="582" w:type="pct"/>
            <w:vAlign w:val="bottom"/>
          </w:tcPr>
          <w:p>
            <w:pPr>
              <w:rPr>
                <w:rFonts w:ascii="Times New Roman" w:hAnsi="Times New Roman" w:eastAsia="宋体" w:cs="Times New Roman"/>
                <w:sz w:val="20"/>
                <w:szCs w:val="20"/>
              </w:rPr>
            </w:pPr>
            <w:r>
              <w:rPr>
                <w:rFonts w:ascii="Times New Roman" w:hAnsi="Times New Roman" w:eastAsia="宋体" w:cs="Times New Roman"/>
                <w:sz w:val="20"/>
                <w:szCs w:val="20"/>
              </w:rPr>
              <w:t>2021</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中文专著</w:t>
            </w:r>
          </w:p>
        </w:tc>
        <w:tc>
          <w:tcPr>
            <w:tcW w:w="525" w:type="pct"/>
            <w:vAlign w:val="center"/>
          </w:tcPr>
          <w:p>
            <w:pPr>
              <w:rPr>
                <w:rFonts w:ascii="Times New Roman" w:hAnsi="Times New Roman" w:eastAsia="宋体" w:cs="Times New Roman"/>
                <w:sz w:val="20"/>
                <w:szCs w:val="20"/>
              </w:rPr>
            </w:pPr>
            <w:r>
              <w:rPr>
                <w:rFonts w:hint="eastAsia"/>
                <w:sz w:val="22"/>
                <w:szCs w:val="22"/>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北方粳稻育种若干问题研究</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范名宇</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中国农业科学技术出版社</w:t>
            </w:r>
          </w:p>
        </w:tc>
        <w:tc>
          <w:tcPr>
            <w:tcW w:w="582" w:type="pct"/>
            <w:vAlign w:val="bottom"/>
          </w:tcPr>
          <w:p>
            <w:pPr>
              <w:rPr>
                <w:rFonts w:ascii="Times New Roman" w:hAnsi="Times New Roman" w:eastAsia="宋体" w:cs="Times New Roman"/>
                <w:sz w:val="20"/>
                <w:szCs w:val="20"/>
              </w:rPr>
            </w:pPr>
            <w:r>
              <w:rPr>
                <w:rFonts w:ascii="Times New Roman" w:hAnsi="Times New Roman" w:eastAsia="宋体" w:cs="Times New Roman"/>
                <w:sz w:val="20"/>
                <w:szCs w:val="20"/>
              </w:rPr>
              <w:t>2021.07</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中文专著</w:t>
            </w:r>
          </w:p>
        </w:tc>
        <w:tc>
          <w:tcPr>
            <w:tcW w:w="525" w:type="pct"/>
            <w:vAlign w:val="center"/>
          </w:tcPr>
          <w:p>
            <w:pPr>
              <w:rPr>
                <w:rFonts w:ascii="Times New Roman" w:hAnsi="Times New Roman" w:eastAsia="宋体" w:cs="Times New Roman"/>
                <w:sz w:val="20"/>
                <w:szCs w:val="20"/>
              </w:rPr>
            </w:pPr>
            <w:r>
              <w:rPr>
                <w:rFonts w:hint="eastAsia"/>
                <w:sz w:val="22"/>
                <w:szCs w:val="22"/>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化肥配施腐植酸对土壤养分的活化效应</w:t>
            </w:r>
          </w:p>
        </w:tc>
        <w:tc>
          <w:tcPr>
            <w:tcW w:w="332"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郭伟</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东北林业大学出版社</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2021.07</w:t>
            </w:r>
          </w:p>
        </w:tc>
        <w:tc>
          <w:tcPr>
            <w:tcW w:w="416"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中文专著</w:t>
            </w:r>
          </w:p>
        </w:tc>
        <w:tc>
          <w:tcPr>
            <w:tcW w:w="525" w:type="pct"/>
            <w:vAlign w:val="center"/>
          </w:tcPr>
          <w:p>
            <w:pPr>
              <w:rPr>
                <w:rFonts w:ascii="Times New Roman" w:hAnsi="Times New Roman" w:eastAsia="宋体" w:cs="Times New Roman"/>
                <w:sz w:val="20"/>
                <w:szCs w:val="20"/>
              </w:rPr>
            </w:pPr>
            <w:r>
              <w:rPr>
                <w:rFonts w:hint="eastAsia"/>
                <w:sz w:val="22"/>
                <w:szCs w:val="22"/>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大豆种植全程解决方案</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张明聪</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黑龙江省人民出版社</w:t>
            </w:r>
          </w:p>
        </w:tc>
        <w:tc>
          <w:tcPr>
            <w:tcW w:w="582" w:type="pct"/>
            <w:vAlign w:val="bottom"/>
          </w:tcPr>
          <w:p>
            <w:pPr>
              <w:rPr>
                <w:rFonts w:ascii="Times New Roman" w:hAnsi="Times New Roman" w:eastAsia="宋体" w:cs="Times New Roman"/>
                <w:sz w:val="20"/>
                <w:szCs w:val="20"/>
              </w:rPr>
            </w:pPr>
            <w:r>
              <w:rPr>
                <w:rFonts w:ascii="Times New Roman" w:hAnsi="Times New Roman" w:eastAsia="宋体" w:cs="Times New Roman"/>
                <w:sz w:val="20"/>
                <w:szCs w:val="20"/>
              </w:rPr>
              <w:t>　</w:t>
            </w:r>
            <w:r>
              <w:rPr>
                <w:rFonts w:hint="eastAsia" w:ascii="Times New Roman" w:hAnsi="Times New Roman" w:eastAsia="宋体" w:cs="Times New Roman"/>
                <w:sz w:val="20"/>
                <w:szCs w:val="20"/>
              </w:rPr>
              <w:t>2021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中文专著</w:t>
            </w:r>
          </w:p>
        </w:tc>
        <w:tc>
          <w:tcPr>
            <w:tcW w:w="525" w:type="pct"/>
            <w:vAlign w:val="center"/>
          </w:tcPr>
          <w:p>
            <w:pPr>
              <w:rPr>
                <w:rFonts w:ascii="Times New Roman" w:hAnsi="Times New Roman" w:eastAsia="宋体" w:cs="Times New Roman"/>
                <w:sz w:val="20"/>
                <w:szCs w:val="20"/>
              </w:rPr>
            </w:pPr>
            <w:r>
              <w:rPr>
                <w:rFonts w:hint="eastAsia"/>
                <w:sz w:val="22"/>
                <w:szCs w:val="22"/>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肥料检测与施用技术研究</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王宁</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哈尔滨工业大学出</w:t>
            </w:r>
          </w:p>
        </w:tc>
        <w:tc>
          <w:tcPr>
            <w:tcW w:w="582" w:type="pct"/>
            <w:vAlign w:val="bottom"/>
          </w:tcPr>
          <w:p>
            <w:pPr>
              <w:rPr>
                <w:rFonts w:ascii="Times New Roman" w:hAnsi="Times New Roman" w:eastAsia="宋体" w:cs="Times New Roman"/>
                <w:sz w:val="20"/>
                <w:szCs w:val="20"/>
              </w:rPr>
            </w:pPr>
            <w:r>
              <w:rPr>
                <w:rFonts w:ascii="Times New Roman" w:hAnsi="Times New Roman" w:eastAsia="宋体" w:cs="Times New Roman"/>
                <w:sz w:val="20"/>
                <w:szCs w:val="20"/>
              </w:rPr>
              <w:t>　</w:t>
            </w:r>
            <w:r>
              <w:rPr>
                <w:rFonts w:hint="eastAsia" w:ascii="Times New Roman" w:hAnsi="Times New Roman" w:eastAsia="宋体" w:cs="Times New Roman"/>
                <w:sz w:val="20"/>
                <w:szCs w:val="20"/>
              </w:rPr>
              <w:t>2021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中文专著</w:t>
            </w:r>
          </w:p>
        </w:tc>
        <w:tc>
          <w:tcPr>
            <w:tcW w:w="525" w:type="pct"/>
            <w:vAlign w:val="center"/>
          </w:tcPr>
          <w:p>
            <w:pPr>
              <w:rPr>
                <w:rFonts w:ascii="Times New Roman" w:hAnsi="Times New Roman" w:eastAsia="宋体" w:cs="Times New Roman"/>
                <w:sz w:val="20"/>
                <w:szCs w:val="20"/>
              </w:rPr>
            </w:pPr>
            <w:r>
              <w:rPr>
                <w:rFonts w:hint="eastAsia"/>
                <w:sz w:val="22"/>
                <w:szCs w:val="22"/>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杂粮作物栽培学</w:t>
            </w:r>
          </w:p>
        </w:tc>
        <w:tc>
          <w:tcPr>
            <w:tcW w:w="33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蒋雨洲</w:t>
            </w:r>
          </w:p>
        </w:tc>
        <w:tc>
          <w:tcPr>
            <w:tcW w:w="582" w:type="pct"/>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中国农业出版社</w:t>
            </w:r>
          </w:p>
        </w:tc>
        <w:tc>
          <w:tcPr>
            <w:tcW w:w="582" w:type="pct"/>
            <w:vAlign w:val="bottom"/>
          </w:tcPr>
          <w:p>
            <w:pPr>
              <w:rPr>
                <w:rFonts w:ascii="Times New Roman" w:hAnsi="Times New Roman" w:eastAsia="宋体" w:cs="Times New Roman"/>
                <w:sz w:val="20"/>
                <w:szCs w:val="20"/>
              </w:rPr>
            </w:pPr>
            <w:r>
              <w:rPr>
                <w:rFonts w:ascii="Times New Roman" w:hAnsi="Times New Roman" w:eastAsia="宋体" w:cs="Times New Roman"/>
                <w:sz w:val="20"/>
                <w:szCs w:val="20"/>
              </w:rPr>
              <w:t>　</w:t>
            </w:r>
            <w:r>
              <w:rPr>
                <w:rFonts w:hint="eastAsia" w:ascii="Times New Roman" w:hAnsi="Times New Roman" w:eastAsia="宋体" w:cs="Times New Roman"/>
                <w:sz w:val="20"/>
                <w:szCs w:val="20"/>
              </w:rPr>
              <w:t>2021</w:t>
            </w:r>
          </w:p>
        </w:tc>
        <w:tc>
          <w:tcPr>
            <w:tcW w:w="416" w:type="pct"/>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中文专著</w:t>
            </w:r>
          </w:p>
        </w:tc>
        <w:tc>
          <w:tcPr>
            <w:tcW w:w="525" w:type="pct"/>
            <w:vAlign w:val="center"/>
          </w:tcPr>
          <w:p>
            <w:pPr>
              <w:rPr>
                <w:rFonts w:ascii="Times New Roman" w:hAnsi="Times New Roman" w:eastAsia="宋体" w:cs="Times New Roman"/>
                <w:sz w:val="20"/>
                <w:szCs w:val="20"/>
              </w:rPr>
            </w:pPr>
            <w:r>
              <w:rPr>
                <w:rFonts w:hint="eastAsia"/>
                <w:sz w:val="22"/>
                <w:szCs w:val="22"/>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1" w:type="pct"/>
            <w:vAlign w:val="center"/>
          </w:tcPr>
          <w:p>
            <w:pPr>
              <w:pStyle w:val="18"/>
              <w:numPr>
                <w:ilvl w:val="0"/>
                <w:numId w:val="5"/>
              </w:numPr>
              <w:adjustRightInd w:val="0"/>
              <w:snapToGrid w:val="0"/>
              <w:ind w:firstLineChars="0"/>
              <w:jc w:val="center"/>
              <w:rPr>
                <w:rFonts w:ascii="Times New Roman" w:hAnsi="Times New Roman" w:eastAsia="宋体" w:cs="Times New Roman"/>
                <w:sz w:val="20"/>
                <w:szCs w:val="20"/>
              </w:rPr>
            </w:pPr>
          </w:p>
        </w:tc>
        <w:tc>
          <w:tcPr>
            <w:tcW w:w="2331" w:type="pct"/>
            <w:vAlign w:val="center"/>
          </w:tcPr>
          <w:p>
            <w:pPr>
              <w:rPr>
                <w:rFonts w:ascii="Times New Roman" w:hAnsi="Times New Roman" w:eastAsia="等线" w:cs="Times New Roman"/>
                <w:sz w:val="20"/>
                <w:szCs w:val="20"/>
              </w:rPr>
            </w:pPr>
            <w:r>
              <w:rPr>
                <w:rFonts w:hint="eastAsia" w:cs="Times New Roman"/>
                <w:sz w:val="20"/>
                <w:szCs w:val="20"/>
              </w:rPr>
              <w:t>玉米耐盐碱种质资源筛选鉴定及耐盐自交系</w:t>
            </w:r>
            <w:r>
              <w:rPr>
                <w:rFonts w:ascii="Times New Roman" w:hAnsi="Times New Roman" w:eastAsia="等线" w:cs="Times New Roman"/>
                <w:sz w:val="20"/>
                <w:szCs w:val="20"/>
              </w:rPr>
              <w:t>DNA</w:t>
            </w:r>
            <w:r>
              <w:rPr>
                <w:rFonts w:hint="eastAsia" w:cs="Times New Roman"/>
                <w:sz w:val="20"/>
                <w:szCs w:val="20"/>
              </w:rPr>
              <w:t>甲基化表观遗传调控分析</w:t>
            </w:r>
          </w:p>
        </w:tc>
        <w:tc>
          <w:tcPr>
            <w:tcW w:w="332" w:type="pct"/>
            <w:vAlign w:val="center"/>
          </w:tcPr>
          <w:p>
            <w:pPr>
              <w:rPr>
                <w:rFonts w:ascii="宋体" w:hAnsi="宋体" w:eastAsia="宋体" w:cs="宋体"/>
                <w:sz w:val="20"/>
                <w:szCs w:val="20"/>
              </w:rPr>
            </w:pPr>
            <w:r>
              <w:rPr>
                <w:rFonts w:hint="eastAsia"/>
                <w:sz w:val="20"/>
                <w:szCs w:val="20"/>
              </w:rPr>
              <w:t>孙丽芳</w:t>
            </w:r>
          </w:p>
        </w:tc>
        <w:tc>
          <w:tcPr>
            <w:tcW w:w="582" w:type="pct"/>
            <w:vAlign w:val="center"/>
          </w:tcPr>
          <w:p>
            <w:pPr>
              <w:rPr>
                <w:rFonts w:ascii="宋体" w:hAnsi="宋体" w:eastAsia="宋体" w:cs="宋体"/>
                <w:sz w:val="20"/>
                <w:szCs w:val="20"/>
              </w:rPr>
            </w:pPr>
            <w:r>
              <w:rPr>
                <w:rFonts w:hint="eastAsia"/>
                <w:sz w:val="20"/>
                <w:szCs w:val="20"/>
              </w:rPr>
              <w:t>中国农业科学技术出版社</w:t>
            </w:r>
          </w:p>
        </w:tc>
        <w:tc>
          <w:tcPr>
            <w:tcW w:w="582" w:type="pct"/>
            <w:vAlign w:val="bottom"/>
          </w:tcPr>
          <w:p>
            <w:pPr>
              <w:jc w:val="center"/>
              <w:rPr>
                <w:rFonts w:ascii="宋体" w:hAnsi="宋体" w:eastAsia="宋体" w:cs="宋体"/>
                <w:sz w:val="22"/>
                <w:szCs w:val="22"/>
              </w:rPr>
            </w:pPr>
            <w:r>
              <w:rPr>
                <w:rFonts w:hint="eastAsia" w:ascii="Times New Roman" w:hAnsi="Times New Roman" w:eastAsia="宋体" w:cs="Times New Roman"/>
                <w:sz w:val="20"/>
                <w:szCs w:val="20"/>
              </w:rPr>
              <w:t>2021</w:t>
            </w:r>
          </w:p>
        </w:tc>
        <w:tc>
          <w:tcPr>
            <w:tcW w:w="416" w:type="pct"/>
            <w:vAlign w:val="center"/>
          </w:tcPr>
          <w:p>
            <w:pPr>
              <w:rPr>
                <w:rFonts w:ascii="宋体" w:hAnsi="宋体" w:eastAsia="宋体" w:cs="宋体"/>
                <w:sz w:val="22"/>
                <w:szCs w:val="22"/>
              </w:rPr>
            </w:pPr>
            <w:r>
              <w:rPr>
                <w:rFonts w:hint="eastAsia"/>
                <w:sz w:val="22"/>
                <w:szCs w:val="22"/>
              </w:rPr>
              <w:t>中文专著</w:t>
            </w:r>
          </w:p>
        </w:tc>
        <w:tc>
          <w:tcPr>
            <w:tcW w:w="525" w:type="pct"/>
            <w:vAlign w:val="center"/>
          </w:tcPr>
          <w:p>
            <w:pPr>
              <w:rPr>
                <w:rFonts w:ascii="宋体" w:hAnsi="宋体" w:eastAsia="宋体" w:cs="宋体"/>
                <w:sz w:val="22"/>
                <w:szCs w:val="22"/>
              </w:rPr>
            </w:pPr>
            <w:r>
              <w:rPr>
                <w:rFonts w:hint="eastAsia"/>
                <w:sz w:val="22"/>
                <w:szCs w:val="22"/>
              </w:rPr>
              <w:t>独立完成</w:t>
            </w:r>
          </w:p>
        </w:tc>
      </w:tr>
      <w:bookmarkEnd w:id="103"/>
    </w:tbl>
    <w:p>
      <w:pPr>
        <w:spacing w:before="163" w:beforeLines="50"/>
        <w:ind w:firstLine="480" w:firstLineChars="200"/>
        <w:outlineLvl w:val="0"/>
        <w:rPr>
          <w:rFonts w:ascii="楷体" w:hAnsi="楷体" w:eastAsia="楷体"/>
        </w:rPr>
      </w:pPr>
      <w:r>
        <w:rPr>
          <w:rFonts w:hint="eastAsia" w:ascii="楷体" w:hAnsi="楷体" w:eastAsia="楷体"/>
          <w:bCs/>
        </w:rPr>
        <w:t>注</w:t>
      </w:r>
      <w:r>
        <w:rPr>
          <w:rFonts w:hint="eastAsia" w:ascii="楷体" w:hAnsi="楷体" w:eastAsia="楷体" w:cs="仿宋_GB2312"/>
        </w:rPr>
        <w:t>：（1）论文、专</w:t>
      </w:r>
      <w:r>
        <w:rPr>
          <w:rFonts w:hint="eastAsia" w:ascii="楷体" w:hAnsi="楷体" w:eastAsia="楷体" w:cs="仿宋_GB2312"/>
          <w:color w:val="44546A" w:themeColor="text2"/>
        </w:rPr>
        <w:t>著均限于教学研究、学术论文或专著，一般文献综述及一般教材不填报。请将有示范中心成员署名的论文、专著依次以国外刊物、国内重要刊物，外文专著、中文专著为序分别填报。</w:t>
      </w:r>
      <w:r>
        <w:rPr>
          <w:rFonts w:hint="eastAsia" w:ascii="Times New Roman" w:hAnsi="Times New Roman" w:eastAsia="楷体" w:cs="Times New Roman"/>
          <w:color w:val="44546A" w:themeColor="text2"/>
        </w:rPr>
        <w:t>（2）</w:t>
      </w:r>
      <w:r>
        <w:rPr>
          <w:rFonts w:hint="eastAsia" w:ascii="Times New Roman" w:hAnsi="Times New Roman" w:eastAsia="楷体" w:cs="Times New Roman"/>
          <w:color w:val="FF0000"/>
        </w:rPr>
        <w:t>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color w:val="FF0000"/>
        </w:rPr>
        <w:t>外文专著、中文专著；</w:t>
      </w:r>
      <w:r>
        <w:rPr>
          <w:rFonts w:hint="eastAsia" w:ascii="Times New Roman" w:hAnsi="Times New Roman" w:eastAsia="楷体" w:cs="Times New Roman"/>
          <w:color w:val="FF0000"/>
        </w:rPr>
        <w:t>国际会议论文集论文不予统计，</w:t>
      </w:r>
      <w:r>
        <w:rPr>
          <w:rFonts w:hint="eastAsia" w:ascii="楷体" w:hAnsi="楷体" w:eastAsia="楷体" w:cs="仿宋_GB2312"/>
          <w:color w:val="FF0000"/>
        </w:rPr>
        <w:t>可对国内发行的英文版学术期刊论文进行填报，但不得与中文版期刊同内容的论文重复。</w:t>
      </w:r>
      <w:r>
        <w:rPr>
          <w:rFonts w:hint="eastAsia" w:ascii="楷体" w:hAnsi="楷体" w:eastAsia="楷体" w:cs="仿宋_GB2312"/>
          <w:color w:val="44546A" w:themeColor="text2"/>
        </w:rPr>
        <w:t>（3）</w:t>
      </w:r>
      <w:r>
        <w:rPr>
          <w:rFonts w:hint="eastAsia" w:ascii="楷体" w:hAnsi="楷体" w:eastAsia="楷体" w:cs="仿宋_GB2312"/>
          <w:bCs/>
          <w:color w:val="44546A" w:themeColor="text2"/>
        </w:rPr>
        <w:t>外文专著：</w:t>
      </w:r>
      <w:r>
        <w:rPr>
          <w:rFonts w:hint="eastAsia" w:ascii="楷体" w:hAnsi="楷体" w:eastAsia="楷体" w:cs="仿宋_GB2312"/>
          <w:color w:val="44546A" w:themeColor="text2"/>
        </w:rPr>
        <w:t>正式出版的学术</w:t>
      </w:r>
      <w:r>
        <w:rPr>
          <w:rFonts w:hint="eastAsia" w:ascii="楷体" w:hAnsi="楷体" w:eastAsia="楷体" w:cs="仿宋_GB2312"/>
        </w:rPr>
        <w:t>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所有作者，以出版物排序为准。</w:t>
      </w:r>
    </w:p>
    <w:p>
      <w:pPr>
        <w:spacing w:before="163" w:beforeLines="50" w:after="163" w:afterLines="50"/>
        <w:ind w:firstLine="480" w:firstLineChars="200"/>
        <w:rPr>
          <w:rFonts w:ascii="黑体" w:hAnsi="黑体" w:eastAsia="黑体"/>
        </w:rPr>
      </w:pPr>
      <w:r>
        <w:rPr>
          <w:rFonts w:hint="eastAsia" w:ascii="黑体" w:hAnsi="黑体" w:eastAsia="黑体" w:cs="仿宋_GB2312"/>
        </w:rPr>
        <w:t>3.仪器设备的研制和改装情况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98"/>
        <w:gridCol w:w="1397"/>
        <w:gridCol w:w="1310"/>
        <w:gridCol w:w="2095"/>
        <w:gridCol w:w="1621"/>
        <w:gridCol w:w="13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410"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820" w:type="pct"/>
            <w:vAlign w:val="center"/>
          </w:tcPr>
          <w:p>
            <w:pPr>
              <w:adjustRightInd w:val="0"/>
              <w:snapToGrid w:val="0"/>
              <w:jc w:val="center"/>
              <w:rPr>
                <w:rFonts w:ascii="黑体" w:hAnsi="黑体" w:eastAsia="黑体" w:cs="宋体"/>
              </w:rPr>
            </w:pPr>
            <w:r>
              <w:rPr>
                <w:rFonts w:hint="eastAsia" w:ascii="黑体" w:hAnsi="黑体" w:eastAsia="黑体" w:cs="宋体"/>
              </w:rPr>
              <w:t>仪器设</w:t>
            </w:r>
          </w:p>
          <w:p>
            <w:pPr>
              <w:adjustRightInd w:val="0"/>
              <w:snapToGrid w:val="0"/>
              <w:jc w:val="center"/>
              <w:rPr>
                <w:rFonts w:ascii="黑体" w:hAnsi="黑体" w:eastAsia="黑体" w:cs="宋体"/>
              </w:rPr>
            </w:pPr>
            <w:r>
              <w:rPr>
                <w:rFonts w:hint="eastAsia" w:ascii="黑体" w:hAnsi="黑体" w:eastAsia="黑体" w:cs="宋体"/>
              </w:rPr>
              <w:t>备名称</w:t>
            </w:r>
          </w:p>
        </w:tc>
        <w:tc>
          <w:tcPr>
            <w:tcW w:w="769" w:type="pct"/>
            <w:vAlign w:val="center"/>
          </w:tcPr>
          <w:p>
            <w:pPr>
              <w:adjustRightInd w:val="0"/>
              <w:snapToGrid w:val="0"/>
              <w:jc w:val="center"/>
              <w:rPr>
                <w:rFonts w:ascii="黑体" w:hAnsi="黑体" w:eastAsia="黑体" w:cs="宋体"/>
              </w:rPr>
            </w:pPr>
            <w:r>
              <w:rPr>
                <w:rFonts w:hint="eastAsia" w:ascii="黑体" w:hAnsi="黑体" w:eastAsia="黑体" w:cs="宋体"/>
              </w:rPr>
              <w:t>自制或</w:t>
            </w:r>
          </w:p>
          <w:p>
            <w:pPr>
              <w:adjustRightInd w:val="0"/>
              <w:snapToGrid w:val="0"/>
              <w:jc w:val="center"/>
              <w:rPr>
                <w:rFonts w:ascii="黑体" w:hAnsi="黑体" w:eastAsia="黑体" w:cs="宋体"/>
              </w:rPr>
            </w:pPr>
            <w:r>
              <w:rPr>
                <w:rFonts w:hint="eastAsia" w:ascii="黑体" w:hAnsi="黑体" w:eastAsia="黑体" w:cs="宋体"/>
              </w:rPr>
              <w:t>改装</w:t>
            </w:r>
          </w:p>
        </w:tc>
        <w:tc>
          <w:tcPr>
            <w:tcW w:w="1230" w:type="pct"/>
            <w:vAlign w:val="center"/>
          </w:tcPr>
          <w:p>
            <w:pPr>
              <w:adjustRightInd w:val="0"/>
              <w:snapToGrid w:val="0"/>
              <w:ind w:left="-120" w:leftChars="-50" w:right="-120" w:rightChars="-50"/>
              <w:jc w:val="center"/>
              <w:rPr>
                <w:rFonts w:ascii="黑体" w:hAnsi="黑体" w:eastAsia="黑体" w:cs="宋体"/>
              </w:rPr>
            </w:pPr>
            <w:r>
              <w:rPr>
                <w:rFonts w:hint="eastAsia" w:ascii="黑体" w:hAnsi="黑体" w:eastAsia="黑体" w:cs="宋体"/>
              </w:rPr>
              <w:t>开发的功能和用途</w:t>
            </w:r>
          </w:p>
          <w:p>
            <w:pPr>
              <w:adjustRightInd w:val="0"/>
              <w:snapToGrid w:val="0"/>
              <w:jc w:val="center"/>
              <w:rPr>
                <w:rFonts w:ascii="黑体" w:hAnsi="黑体" w:eastAsia="黑体" w:cs="宋体"/>
              </w:rPr>
            </w:pPr>
            <w:r>
              <w:rPr>
                <w:rFonts w:hint="eastAsia" w:ascii="黑体" w:hAnsi="黑体" w:eastAsia="黑体" w:cs="宋体"/>
              </w:rPr>
              <w:t>（限100字以内）</w:t>
            </w:r>
          </w:p>
        </w:tc>
        <w:tc>
          <w:tcPr>
            <w:tcW w:w="952" w:type="pct"/>
            <w:vAlign w:val="center"/>
          </w:tcPr>
          <w:p>
            <w:pPr>
              <w:adjustRightInd w:val="0"/>
              <w:snapToGrid w:val="0"/>
              <w:jc w:val="center"/>
              <w:rPr>
                <w:rFonts w:ascii="黑体" w:hAnsi="黑体" w:eastAsia="黑体" w:cs="宋体"/>
              </w:rPr>
            </w:pPr>
            <w:r>
              <w:rPr>
                <w:rFonts w:hint="eastAsia" w:ascii="黑体" w:hAnsi="黑体" w:eastAsia="黑体" w:cs="宋体"/>
              </w:rPr>
              <w:t>研究成果</w:t>
            </w:r>
          </w:p>
          <w:p>
            <w:pPr>
              <w:adjustRightInd w:val="0"/>
              <w:snapToGrid w:val="0"/>
              <w:ind w:left="-240" w:leftChars="-100" w:right="-120" w:rightChars="-50"/>
              <w:jc w:val="center"/>
              <w:rPr>
                <w:rFonts w:ascii="黑体" w:hAnsi="黑体" w:eastAsia="黑体" w:cs="宋体"/>
              </w:rPr>
            </w:pPr>
            <w:r>
              <w:rPr>
                <w:rFonts w:hint="eastAsia" w:ascii="黑体" w:hAnsi="黑体" w:eastAsia="黑体" w:cs="宋体"/>
              </w:rPr>
              <w:t>（限100字以内）</w:t>
            </w:r>
          </w:p>
        </w:tc>
        <w:tc>
          <w:tcPr>
            <w:tcW w:w="819" w:type="pct"/>
            <w:vAlign w:val="center"/>
          </w:tcPr>
          <w:p>
            <w:pPr>
              <w:adjustRightInd w:val="0"/>
              <w:snapToGrid w:val="0"/>
              <w:jc w:val="center"/>
              <w:rPr>
                <w:rFonts w:ascii="黑体" w:hAnsi="黑体" w:eastAsia="黑体" w:cs="宋体"/>
              </w:rPr>
            </w:pPr>
            <w:r>
              <w:rPr>
                <w:rFonts w:hint="eastAsia" w:ascii="黑体" w:hAnsi="黑体" w:eastAsia="黑体" w:cs="宋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10" w:type="pct"/>
            <w:vAlign w:val="center"/>
          </w:tcPr>
          <w:p>
            <w:pPr>
              <w:adjustRightInd w:val="0"/>
              <w:snapToGrid w:val="0"/>
              <w:jc w:val="center"/>
              <w:rPr>
                <w:rFonts w:ascii="楷体" w:hAnsi="楷体" w:eastAsia="楷体"/>
              </w:rPr>
            </w:pPr>
            <w:r>
              <w:rPr>
                <w:rFonts w:hint="eastAsia" w:ascii="楷体" w:hAnsi="楷体" w:eastAsia="楷体"/>
              </w:rPr>
              <w:t>1</w:t>
            </w:r>
          </w:p>
        </w:tc>
        <w:tc>
          <w:tcPr>
            <w:tcW w:w="820" w:type="pct"/>
          </w:tcPr>
          <w:p>
            <w:pPr>
              <w:adjustRightInd w:val="0"/>
              <w:snapToGrid w:val="0"/>
              <w:jc w:val="center"/>
              <w:rPr>
                <w:rFonts w:ascii="仿宋" w:hAnsi="仿宋" w:eastAsia="仿宋"/>
                <w:sz w:val="28"/>
                <w:szCs w:val="28"/>
              </w:rPr>
            </w:pPr>
          </w:p>
        </w:tc>
        <w:tc>
          <w:tcPr>
            <w:tcW w:w="769" w:type="pct"/>
          </w:tcPr>
          <w:p>
            <w:pPr>
              <w:adjustRightInd w:val="0"/>
              <w:snapToGrid w:val="0"/>
              <w:jc w:val="center"/>
              <w:rPr>
                <w:rFonts w:ascii="仿宋" w:hAnsi="仿宋" w:eastAsia="仿宋"/>
                <w:sz w:val="28"/>
                <w:szCs w:val="28"/>
              </w:rPr>
            </w:pPr>
          </w:p>
        </w:tc>
        <w:tc>
          <w:tcPr>
            <w:tcW w:w="1230" w:type="pct"/>
          </w:tcPr>
          <w:p>
            <w:pPr>
              <w:adjustRightInd w:val="0"/>
              <w:snapToGrid w:val="0"/>
              <w:rPr>
                <w:rFonts w:ascii="仿宋" w:hAnsi="仿宋" w:eastAsia="仿宋"/>
                <w:sz w:val="28"/>
                <w:szCs w:val="28"/>
              </w:rPr>
            </w:pPr>
          </w:p>
        </w:tc>
        <w:tc>
          <w:tcPr>
            <w:tcW w:w="952" w:type="pct"/>
          </w:tcPr>
          <w:p>
            <w:pPr>
              <w:adjustRightInd w:val="0"/>
              <w:snapToGrid w:val="0"/>
              <w:jc w:val="center"/>
              <w:rPr>
                <w:rFonts w:ascii="仿宋" w:hAnsi="仿宋" w:eastAsia="仿宋"/>
                <w:sz w:val="28"/>
                <w:szCs w:val="28"/>
              </w:rPr>
            </w:pPr>
          </w:p>
        </w:tc>
        <w:tc>
          <w:tcPr>
            <w:tcW w:w="819" w:type="pct"/>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10" w:type="pct"/>
            <w:vAlign w:val="center"/>
          </w:tcPr>
          <w:p>
            <w:pPr>
              <w:adjustRightInd w:val="0"/>
              <w:snapToGrid w:val="0"/>
              <w:jc w:val="center"/>
              <w:rPr>
                <w:rFonts w:ascii="楷体" w:hAnsi="楷体" w:eastAsia="楷体"/>
              </w:rPr>
            </w:pPr>
            <w:r>
              <w:rPr>
                <w:rFonts w:hint="eastAsia" w:ascii="楷体" w:hAnsi="楷体" w:eastAsia="楷体"/>
              </w:rPr>
              <w:t>2</w:t>
            </w:r>
          </w:p>
        </w:tc>
        <w:tc>
          <w:tcPr>
            <w:tcW w:w="820" w:type="pct"/>
          </w:tcPr>
          <w:p>
            <w:pPr>
              <w:adjustRightInd w:val="0"/>
              <w:snapToGrid w:val="0"/>
              <w:jc w:val="center"/>
              <w:rPr>
                <w:rFonts w:ascii="仿宋" w:hAnsi="仿宋" w:eastAsia="仿宋"/>
                <w:sz w:val="28"/>
                <w:szCs w:val="28"/>
              </w:rPr>
            </w:pPr>
          </w:p>
        </w:tc>
        <w:tc>
          <w:tcPr>
            <w:tcW w:w="769" w:type="pct"/>
          </w:tcPr>
          <w:p>
            <w:pPr>
              <w:adjustRightInd w:val="0"/>
              <w:snapToGrid w:val="0"/>
              <w:jc w:val="center"/>
              <w:rPr>
                <w:rFonts w:ascii="仿宋" w:hAnsi="仿宋" w:eastAsia="仿宋"/>
                <w:sz w:val="28"/>
                <w:szCs w:val="28"/>
              </w:rPr>
            </w:pPr>
          </w:p>
        </w:tc>
        <w:tc>
          <w:tcPr>
            <w:tcW w:w="1230" w:type="pct"/>
          </w:tcPr>
          <w:p>
            <w:pPr>
              <w:adjustRightInd w:val="0"/>
              <w:snapToGrid w:val="0"/>
              <w:rPr>
                <w:rFonts w:ascii="仿宋" w:hAnsi="仿宋" w:eastAsia="仿宋"/>
                <w:sz w:val="28"/>
                <w:szCs w:val="28"/>
              </w:rPr>
            </w:pPr>
          </w:p>
        </w:tc>
        <w:tc>
          <w:tcPr>
            <w:tcW w:w="952" w:type="pct"/>
          </w:tcPr>
          <w:p>
            <w:pPr>
              <w:adjustRightInd w:val="0"/>
              <w:snapToGrid w:val="0"/>
              <w:jc w:val="center"/>
              <w:rPr>
                <w:rFonts w:ascii="仿宋" w:hAnsi="仿宋" w:eastAsia="仿宋"/>
                <w:sz w:val="28"/>
                <w:szCs w:val="28"/>
              </w:rPr>
            </w:pPr>
          </w:p>
        </w:tc>
        <w:tc>
          <w:tcPr>
            <w:tcW w:w="819" w:type="pct"/>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10" w:type="pct"/>
            <w:vAlign w:val="center"/>
          </w:tcPr>
          <w:p>
            <w:pPr>
              <w:adjustRightInd w:val="0"/>
              <w:snapToGrid w:val="0"/>
              <w:jc w:val="center"/>
              <w:rPr>
                <w:rFonts w:ascii="楷体" w:hAnsi="楷体" w:eastAsia="楷体"/>
              </w:rPr>
            </w:pPr>
            <w:r>
              <w:rPr>
                <w:rFonts w:ascii="楷体" w:hAnsi="楷体" w:eastAsia="楷体"/>
              </w:rPr>
              <w:t>…</w:t>
            </w:r>
          </w:p>
        </w:tc>
        <w:tc>
          <w:tcPr>
            <w:tcW w:w="820" w:type="pct"/>
          </w:tcPr>
          <w:p>
            <w:pPr>
              <w:adjustRightInd w:val="0"/>
              <w:snapToGrid w:val="0"/>
              <w:jc w:val="center"/>
              <w:rPr>
                <w:rFonts w:ascii="仿宋" w:hAnsi="仿宋" w:eastAsia="仿宋"/>
                <w:sz w:val="28"/>
                <w:szCs w:val="28"/>
              </w:rPr>
            </w:pPr>
          </w:p>
        </w:tc>
        <w:tc>
          <w:tcPr>
            <w:tcW w:w="769" w:type="pct"/>
          </w:tcPr>
          <w:p>
            <w:pPr>
              <w:adjustRightInd w:val="0"/>
              <w:snapToGrid w:val="0"/>
              <w:jc w:val="center"/>
              <w:rPr>
                <w:rFonts w:ascii="仿宋" w:hAnsi="仿宋" w:eastAsia="仿宋"/>
                <w:sz w:val="28"/>
                <w:szCs w:val="28"/>
              </w:rPr>
            </w:pPr>
          </w:p>
        </w:tc>
        <w:tc>
          <w:tcPr>
            <w:tcW w:w="1230" w:type="pct"/>
          </w:tcPr>
          <w:p>
            <w:pPr>
              <w:adjustRightInd w:val="0"/>
              <w:snapToGrid w:val="0"/>
              <w:jc w:val="center"/>
              <w:rPr>
                <w:rFonts w:ascii="仿宋" w:hAnsi="仿宋" w:eastAsia="仿宋"/>
                <w:sz w:val="28"/>
                <w:szCs w:val="28"/>
              </w:rPr>
            </w:pPr>
          </w:p>
        </w:tc>
        <w:tc>
          <w:tcPr>
            <w:tcW w:w="952" w:type="pct"/>
          </w:tcPr>
          <w:p>
            <w:pPr>
              <w:adjustRightInd w:val="0"/>
              <w:snapToGrid w:val="0"/>
              <w:jc w:val="center"/>
              <w:rPr>
                <w:rFonts w:ascii="仿宋" w:hAnsi="仿宋" w:eastAsia="仿宋"/>
                <w:sz w:val="28"/>
                <w:szCs w:val="28"/>
              </w:rPr>
            </w:pPr>
          </w:p>
        </w:tc>
        <w:tc>
          <w:tcPr>
            <w:tcW w:w="819" w:type="pct"/>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cs="仿宋_GB2312"/>
          <w:bCs/>
        </w:rPr>
        <w:t>注：（1）自制：</w:t>
      </w:r>
      <w:r>
        <w:rPr>
          <w:rFonts w:hint="eastAsia" w:ascii="楷体" w:hAnsi="楷体" w:eastAsia="楷体" w:cs="仿宋_GB2312"/>
        </w:rPr>
        <w:t>实验室自行研制的仪器设备。（2）</w:t>
      </w:r>
      <w:r>
        <w:rPr>
          <w:rFonts w:hint="eastAsia" w:ascii="楷体" w:hAnsi="楷体" w:eastAsia="楷体" w:cs="仿宋_GB2312"/>
          <w:bCs/>
        </w:rPr>
        <w:t>改装：</w:t>
      </w:r>
      <w:r>
        <w:rPr>
          <w:rFonts w:hint="eastAsia" w:ascii="楷体" w:hAnsi="楷体" w:eastAsia="楷体" w:cs="仿宋_GB2312"/>
        </w:rPr>
        <w:t>对购置的仪器设备进行改装，赋予其新的功能和用途。（3）</w:t>
      </w:r>
      <w:r>
        <w:rPr>
          <w:rFonts w:hint="eastAsia" w:ascii="楷体" w:hAnsi="楷体" w:eastAsia="楷体" w:cs="仿宋_GB2312"/>
          <w:bCs/>
        </w:rPr>
        <w:t>研究成果：</w:t>
      </w:r>
      <w:r>
        <w:rPr>
          <w:rFonts w:hint="eastAsia" w:ascii="楷体" w:hAnsi="楷体" w:eastAsia="楷体" w:cs="仿宋_GB2312"/>
        </w:rPr>
        <w:t>用新研制或改装的仪器设备进行研究的创新性成果，列举</w:t>
      </w:r>
      <w:r>
        <w:rPr>
          <w:rFonts w:hint="eastAsia" w:ascii="楷体" w:hAnsi="楷体" w:eastAsia="楷体"/>
        </w:rPr>
        <w:t>1－2</w:t>
      </w:r>
      <w:r>
        <w:rPr>
          <w:rFonts w:hint="eastAsia" w:ascii="楷体" w:hAnsi="楷体" w:eastAsia="楷体" w:cs="仿宋_GB2312"/>
        </w:rPr>
        <w:t>项。</w:t>
      </w:r>
    </w:p>
    <w:p>
      <w:pPr>
        <w:spacing w:before="163" w:beforeLines="50" w:after="163" w:afterLines="50"/>
        <w:ind w:firstLine="480" w:firstLineChars="200"/>
        <w:rPr>
          <w:rFonts w:ascii="黑体" w:hAnsi="黑体" w:eastAsia="黑体" w:cs="仿宋_GB2312"/>
          <w:color w:val="FF0000"/>
        </w:rPr>
      </w:pPr>
      <w:r>
        <w:rPr>
          <w:rFonts w:hint="eastAsia" w:ascii="黑体" w:hAnsi="黑体" w:eastAsia="黑体" w:cs="仿宋_GB2312"/>
          <w:color w:val="FF0000"/>
        </w:rPr>
        <w:t>4.其它成果情况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58"/>
        <w:gridCol w:w="39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黑体" w:hAnsi="黑体" w:eastAsia="黑体" w:cs="宋体"/>
              </w:rPr>
            </w:pPr>
            <w:r>
              <w:rPr>
                <w:rFonts w:hint="eastAsia" w:ascii="黑体" w:hAnsi="黑体" w:eastAsia="黑体" w:cs="宋体"/>
              </w:rPr>
              <w:t>名称</w:t>
            </w:r>
          </w:p>
        </w:tc>
        <w:tc>
          <w:tcPr>
            <w:tcW w:w="2324" w:type="pct"/>
            <w:vAlign w:val="center"/>
          </w:tcPr>
          <w:p>
            <w:pPr>
              <w:adjustRightInd w:val="0"/>
              <w:snapToGrid w:val="0"/>
              <w:jc w:val="center"/>
              <w:rPr>
                <w:rFonts w:ascii="黑体" w:hAnsi="黑体" w:eastAsia="黑体" w:cs="宋体"/>
              </w:rPr>
            </w:pPr>
            <w:r>
              <w:rPr>
                <w:rFonts w:hint="eastAsia" w:ascii="黑体" w:hAnsi="黑体" w:eastAsia="黑体" w:cs="宋体"/>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楷体" w:hAnsi="楷体" w:eastAsia="楷体" w:cs="仿宋_GB2312"/>
              </w:rPr>
            </w:pPr>
            <w:r>
              <w:rPr>
                <w:rFonts w:hint="eastAsia" w:ascii="楷体" w:hAnsi="楷体" w:eastAsia="楷体" w:cs="仿宋_GB2312"/>
              </w:rPr>
              <w:t>国内会议论文数</w:t>
            </w:r>
          </w:p>
        </w:tc>
        <w:tc>
          <w:tcPr>
            <w:tcW w:w="2324" w:type="pct"/>
            <w:vAlign w:val="center"/>
          </w:tcPr>
          <w:p>
            <w:pPr>
              <w:adjustRightInd w:val="0"/>
              <w:snapToGrid w:val="0"/>
              <w:jc w:val="right"/>
              <w:rPr>
                <w:rFonts w:ascii="楷体" w:hAnsi="楷体" w:eastAsia="楷体" w:cs="仿宋_GB2312"/>
              </w:rPr>
            </w:pPr>
            <w:r>
              <w:rPr>
                <w:rFonts w:hint="eastAsia" w:ascii="楷体" w:hAnsi="楷体" w:eastAsia="楷体" w:cs="仿宋_GB2312"/>
              </w:rPr>
              <w:t>15篇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楷体" w:hAnsi="楷体" w:eastAsia="楷体" w:cs="仿宋_GB2312"/>
              </w:rPr>
            </w:pPr>
            <w:r>
              <w:rPr>
                <w:rFonts w:hint="eastAsia" w:ascii="楷体" w:hAnsi="楷体" w:eastAsia="楷体" w:cs="仿宋_GB2312"/>
              </w:rPr>
              <w:t>国际会议论文数</w:t>
            </w:r>
          </w:p>
        </w:tc>
        <w:tc>
          <w:tcPr>
            <w:tcW w:w="2324" w:type="pct"/>
            <w:vAlign w:val="center"/>
          </w:tcPr>
          <w:p>
            <w:pPr>
              <w:adjustRightInd w:val="0"/>
              <w:snapToGrid w:val="0"/>
              <w:jc w:val="right"/>
              <w:rPr>
                <w:rFonts w:ascii="楷体" w:hAnsi="楷体" w:eastAsia="楷体" w:cs="仿宋_GB2312"/>
              </w:rPr>
            </w:pPr>
            <w:r>
              <w:rPr>
                <w:rFonts w:hint="eastAsia" w:ascii="楷体" w:hAnsi="楷体" w:eastAsia="楷体" w:cs="仿宋_GB2312"/>
              </w:rPr>
              <w:t>2篇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楷体" w:hAnsi="楷体" w:eastAsia="楷体" w:cs="仿宋_GB2312"/>
              </w:rPr>
            </w:pPr>
            <w:r>
              <w:rPr>
                <w:rFonts w:hint="eastAsia" w:ascii="楷体" w:hAnsi="楷体" w:eastAsia="楷体" w:cs="仿宋_GB2312"/>
              </w:rPr>
              <w:t>国内一般刊物发表论文数</w:t>
            </w:r>
          </w:p>
        </w:tc>
        <w:tc>
          <w:tcPr>
            <w:tcW w:w="2324" w:type="pct"/>
            <w:vAlign w:val="center"/>
          </w:tcPr>
          <w:p>
            <w:pPr>
              <w:adjustRightInd w:val="0"/>
              <w:snapToGrid w:val="0"/>
              <w:jc w:val="right"/>
              <w:rPr>
                <w:rFonts w:ascii="楷体" w:hAnsi="楷体" w:eastAsia="楷体" w:cs="仿宋_GB2312"/>
              </w:rPr>
            </w:pPr>
            <w:r>
              <w:rPr>
                <w:rFonts w:hint="eastAsia" w:ascii="楷体" w:hAnsi="楷体" w:eastAsia="楷体" w:cs="仿宋_GB2312"/>
              </w:rPr>
              <w:t>21篇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楷体" w:hAnsi="楷体" w:eastAsia="楷体" w:cs="仿宋_GB2312"/>
              </w:rPr>
            </w:pPr>
            <w:r>
              <w:rPr>
                <w:rFonts w:hint="eastAsia" w:ascii="楷体" w:hAnsi="楷体" w:eastAsia="楷体" w:cs="仿宋_GB2312"/>
              </w:rPr>
              <w:t>省部委奖数</w:t>
            </w:r>
          </w:p>
        </w:tc>
        <w:tc>
          <w:tcPr>
            <w:tcW w:w="2324" w:type="pct"/>
            <w:vAlign w:val="center"/>
          </w:tcPr>
          <w:p>
            <w:pPr>
              <w:adjustRightInd w:val="0"/>
              <w:snapToGrid w:val="0"/>
              <w:jc w:val="right"/>
              <w:rPr>
                <w:rFonts w:ascii="楷体" w:hAnsi="楷体" w:eastAsia="楷体" w:cs="仿宋_GB2312"/>
                <w:highlight w:val="yellow"/>
              </w:rPr>
            </w:pPr>
            <w:r>
              <w:rPr>
                <w:rFonts w:hint="eastAsia" w:ascii="楷体" w:hAnsi="楷体" w:eastAsia="楷体" w:cs="仿宋_GB2312"/>
              </w:rPr>
              <w:t>3项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楷体" w:hAnsi="楷体" w:eastAsia="楷体" w:cs="仿宋_GB2312"/>
              </w:rPr>
            </w:pPr>
            <w:r>
              <w:rPr>
                <w:rFonts w:hint="eastAsia" w:ascii="楷体" w:hAnsi="楷体" w:eastAsia="楷体" w:cs="仿宋_GB2312"/>
              </w:rPr>
              <w:t>其它奖数</w:t>
            </w:r>
          </w:p>
        </w:tc>
        <w:tc>
          <w:tcPr>
            <w:tcW w:w="2324" w:type="pct"/>
            <w:vAlign w:val="center"/>
          </w:tcPr>
          <w:p>
            <w:pPr>
              <w:adjustRightInd w:val="0"/>
              <w:snapToGrid w:val="0"/>
              <w:jc w:val="right"/>
              <w:rPr>
                <w:rFonts w:ascii="楷体" w:hAnsi="楷体" w:eastAsia="楷体" w:cs="仿宋_GB2312"/>
                <w:highlight w:val="yellow"/>
              </w:rPr>
            </w:pPr>
            <w:r>
              <w:rPr>
                <w:rFonts w:hint="eastAsia" w:ascii="楷体" w:hAnsi="楷体" w:eastAsia="楷体" w:cs="仿宋_GB2312"/>
              </w:rPr>
              <w:t>3项</w:t>
            </w:r>
          </w:p>
        </w:tc>
      </w:tr>
    </w:tbl>
    <w:p>
      <w:pPr>
        <w:spacing w:before="163" w:beforeLines="50"/>
        <w:ind w:firstLine="480" w:firstLineChars="200"/>
        <w:rPr>
          <w:rFonts w:ascii="楷体" w:hAnsi="楷体" w:eastAsia="楷体" w:cs="仿宋_GB2312"/>
          <w:color w:val="44546A" w:themeColor="text2"/>
        </w:rPr>
      </w:pPr>
      <w:r>
        <w:rPr>
          <w:rFonts w:hint="eastAsia" w:ascii="楷体" w:hAnsi="楷体" w:eastAsia="楷体" w:cs="仿宋_GB2312"/>
          <w:bCs/>
          <w:color w:val="44546A" w:themeColor="text2"/>
        </w:rPr>
        <w:t>注：国内一般刊物：</w:t>
      </w:r>
      <w:r>
        <w:rPr>
          <w:rFonts w:hint="eastAsia" w:ascii="楷体" w:hAnsi="楷体" w:eastAsia="楷体" w:cs="仿宋_GB2312"/>
          <w:color w:val="FF0000"/>
        </w:rPr>
        <w:t>除“（三）2”以外的其他国内刊物</w:t>
      </w:r>
      <w:r>
        <w:rPr>
          <w:rFonts w:hint="eastAsia" w:ascii="楷体" w:hAnsi="楷体" w:eastAsia="楷体" w:cs="仿宋_GB2312"/>
          <w:color w:val="44546A" w:themeColor="text2"/>
        </w:rPr>
        <w:t xml:space="preserve">，只填汇总数量。 </w:t>
      </w:r>
    </w:p>
    <w:p>
      <w:pPr>
        <w:spacing w:before="163" w:beforeLines="50"/>
        <w:rPr>
          <w:rFonts w:ascii="黑体" w:hAnsi="黑体" w:eastAsia="黑体"/>
          <w:b/>
          <w:sz w:val="32"/>
          <w:szCs w:val="32"/>
        </w:rPr>
      </w:pPr>
      <w:r>
        <w:rPr>
          <w:rFonts w:hint="eastAsia" w:ascii="仿宋" w:hAnsi="仿宋" w:eastAsia="仿宋"/>
          <w:b/>
          <w:sz w:val="28"/>
          <w:szCs w:val="28"/>
        </w:rPr>
        <w:t xml:space="preserve">    </w:t>
      </w:r>
      <w:r>
        <w:rPr>
          <w:rFonts w:hint="eastAsia" w:ascii="黑体" w:hAnsi="黑体" w:eastAsia="黑体"/>
          <w:b/>
          <w:sz w:val="32"/>
          <w:szCs w:val="32"/>
        </w:rPr>
        <w:t>五、</w:t>
      </w:r>
      <w:r>
        <w:rPr>
          <w:rFonts w:hint="eastAsia" w:ascii="黑体" w:hAnsi="黑体" w:eastAsia="黑体" w:cs="仿宋_GB2312"/>
          <w:b/>
          <w:sz w:val="32"/>
          <w:szCs w:val="32"/>
        </w:rPr>
        <w:t>信息化建设、开放运行和示范辐射情况</w:t>
      </w:r>
    </w:p>
    <w:p>
      <w:pPr>
        <w:spacing w:after="163" w:afterLines="50"/>
        <w:ind w:firstLine="560" w:firstLineChars="200"/>
        <w:rPr>
          <w:rFonts w:ascii="黑体" w:hAnsi="黑体" w:eastAsia="黑体"/>
          <w:sz w:val="28"/>
          <w:szCs w:val="28"/>
        </w:rPr>
      </w:pPr>
      <w:r>
        <w:rPr>
          <w:rFonts w:hint="eastAsia" w:ascii="黑体" w:hAnsi="黑体" w:eastAsia="黑体"/>
          <w:sz w:val="28"/>
          <w:szCs w:val="28"/>
        </w:rPr>
        <w:t>（一）信息化建设情况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567"/>
        <w:gridCol w:w="49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中心网址</w:t>
            </w:r>
          </w:p>
        </w:tc>
        <w:tc>
          <w:tcPr>
            <w:tcW w:w="2906" w:type="pct"/>
            <w:vAlign w:val="center"/>
          </w:tcPr>
          <w:p>
            <w:pPr>
              <w:jc w:val="right"/>
              <w:rPr>
                <w:rFonts w:ascii="Times New Roman" w:hAnsi="Times New Roman" w:eastAsia="仿宋" w:cs="Times New Roman"/>
                <w:color w:val="FF0000"/>
                <w:sz w:val="28"/>
                <w:szCs w:val="28"/>
                <w:highlight w:val="yellow"/>
              </w:rPr>
            </w:pPr>
            <w:r>
              <w:rPr>
                <w:rFonts w:ascii="Times New Roman" w:hAnsi="Times New Roman" w:cs="Times New Roman"/>
              </w:rPr>
              <w:t>http://10.1.3.65/_s68/main.psp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中心网址年度访问总量</w:t>
            </w:r>
          </w:p>
        </w:tc>
        <w:tc>
          <w:tcPr>
            <w:tcW w:w="2906" w:type="pct"/>
          </w:tcPr>
          <w:p>
            <w:pPr>
              <w:jc w:val="right"/>
              <w:rPr>
                <w:rFonts w:ascii="Times New Roman" w:hAnsi="Times New Roman" w:eastAsia="仿宋" w:cs="Times New Roman"/>
                <w:color w:val="FF0000"/>
                <w:sz w:val="28"/>
                <w:szCs w:val="28"/>
              </w:rPr>
            </w:pPr>
            <w:r>
              <w:rPr>
                <w:rFonts w:ascii="Times New Roman" w:hAnsi="Times New Roman" w:eastAsia="宋体" w:cs="Times New Roman"/>
                <w:color w:val="FF0000"/>
                <w:sz w:val="21"/>
                <w:szCs w:val="21"/>
              </w:rPr>
              <w:t>3.9万人次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虚拟仿真实验教学项目</w:t>
            </w:r>
          </w:p>
        </w:tc>
        <w:tc>
          <w:tcPr>
            <w:tcW w:w="2906" w:type="pct"/>
          </w:tcPr>
          <w:p>
            <w:pPr>
              <w:jc w:val="right"/>
              <w:rPr>
                <w:rFonts w:ascii="Times New Roman" w:hAnsi="Times New Roman" w:eastAsia="仿宋" w:cs="Times New Roman"/>
                <w:sz w:val="28"/>
                <w:szCs w:val="28"/>
                <w:highlight w:val="yellow"/>
              </w:rPr>
            </w:pPr>
            <w:r>
              <w:rPr>
                <w:rFonts w:ascii="Times New Roman" w:hAnsi="Times New Roman" w:eastAsia="宋体" w:cs="Times New Roman"/>
                <w:sz w:val="21"/>
                <w:szCs w:val="21"/>
              </w:rPr>
              <w:t>5项</w:t>
            </w:r>
          </w:p>
        </w:tc>
      </w:tr>
    </w:tbl>
    <w:p>
      <w:pPr>
        <w:spacing w:before="163" w:beforeLines="50"/>
        <w:ind w:firstLine="560" w:firstLineChars="200"/>
        <w:rPr>
          <w:rFonts w:ascii="黑体" w:hAnsi="黑体" w:eastAsia="黑体" w:cs="仿宋_GB2312"/>
          <w:sz w:val="28"/>
          <w:szCs w:val="28"/>
        </w:rPr>
      </w:pPr>
      <w:r>
        <w:rPr>
          <w:rFonts w:hint="eastAsia" w:ascii="黑体" w:hAnsi="黑体" w:eastAsia="黑体" w:cs="仿宋_GB2312"/>
          <w:sz w:val="28"/>
          <w:szCs w:val="28"/>
        </w:rPr>
        <w:t>（二）开放运行和示范辐射情况</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1.参加示范中心联席会活动情况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783"/>
        <w:gridCol w:w="37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jc w:val="center"/>
              <w:rPr>
                <w:rFonts w:ascii="黑体" w:hAnsi="黑体" w:eastAsia="黑体" w:cs="仿宋_GB2312"/>
              </w:rPr>
            </w:pPr>
            <w:r>
              <w:rPr>
                <w:rFonts w:hint="eastAsia" w:ascii="黑体" w:hAnsi="黑体" w:eastAsia="黑体" w:cs="仿宋_GB2312"/>
              </w:rPr>
              <w:t>所在示范中心联席会学科组名称</w:t>
            </w:r>
          </w:p>
        </w:tc>
        <w:tc>
          <w:tcPr>
            <w:tcW w:w="2192" w:type="pct"/>
            <w:vAlign w:val="center"/>
          </w:tcPr>
          <w:p>
            <w:pPr>
              <w:adjustRightInd w:val="0"/>
              <w:snapToGrid w:val="0"/>
              <w:jc w:val="center"/>
              <w:rPr>
                <w:rFonts w:ascii="仿宋" w:hAnsi="仿宋" w:eastAsia="仿宋" w:cs="仿宋_GB2312"/>
                <w:sz w:val="28"/>
                <w:szCs w:val="28"/>
              </w:rPr>
            </w:pPr>
            <w:r>
              <w:rPr>
                <w:rFonts w:hint="eastAsia" w:ascii="宋体" w:hAnsi="宋体" w:eastAsia="宋体" w:cs="宋体"/>
                <w:color w:val="333333"/>
                <w:sz w:val="21"/>
                <w:szCs w:val="21"/>
                <w:shd w:val="clear" w:color="auto" w:fill="FFFFFF"/>
              </w:rPr>
              <w:t>植物/农林/动物/水产组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ind w:firstLine="480" w:firstLineChars="200"/>
              <w:jc w:val="center"/>
              <w:rPr>
                <w:rFonts w:ascii="黑体" w:hAnsi="黑体" w:eastAsia="黑体" w:cs="仿宋_GB2312"/>
              </w:rPr>
            </w:pPr>
            <w:r>
              <w:rPr>
                <w:rFonts w:hint="eastAsia" w:ascii="黑体" w:hAnsi="黑体" w:eastAsia="黑体" w:cs="仿宋_GB2312"/>
              </w:rPr>
              <w:t>参加活动的人次数</w:t>
            </w:r>
          </w:p>
        </w:tc>
        <w:tc>
          <w:tcPr>
            <w:tcW w:w="2192" w:type="pct"/>
            <w:vAlign w:val="center"/>
          </w:tcPr>
          <w:p>
            <w:pPr>
              <w:adjustRightInd w:val="0"/>
              <w:snapToGrid w:val="0"/>
              <w:jc w:val="center"/>
              <w:rPr>
                <w:rFonts w:ascii="仿宋" w:hAnsi="仿宋" w:eastAsia="仿宋" w:cs="仿宋_GB2312"/>
                <w:sz w:val="28"/>
                <w:szCs w:val="28"/>
              </w:rPr>
            </w:pPr>
            <w:r>
              <w:rPr>
                <w:rFonts w:hint="eastAsia" w:ascii="宋体" w:hAnsi="宋体" w:eastAsia="宋体" w:cs="宋体"/>
                <w:color w:val="333333"/>
                <w:sz w:val="21"/>
                <w:szCs w:val="21"/>
                <w:shd w:val="clear" w:color="auto" w:fill="FFFFFF"/>
              </w:rPr>
              <w:t>3人次</w:t>
            </w:r>
          </w:p>
        </w:tc>
      </w:tr>
    </w:tbl>
    <w:p>
      <w:pPr>
        <w:spacing w:before="163" w:beforeLines="50" w:after="163" w:afterLines="50"/>
        <w:ind w:firstLine="480" w:firstLineChars="200"/>
        <w:rPr>
          <w:rFonts w:ascii="黑体" w:hAnsi="黑体" w:eastAsia="黑体"/>
        </w:rPr>
      </w:pPr>
      <w:r>
        <w:rPr>
          <w:rFonts w:hint="eastAsia" w:ascii="黑体" w:hAnsi="黑体" w:eastAsia="黑体" w:cs="仿宋_GB2312"/>
        </w:rPr>
        <w:t>2.承办大型会议情况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00"/>
        <w:gridCol w:w="1390"/>
        <w:gridCol w:w="1744"/>
        <w:gridCol w:w="1034"/>
        <w:gridCol w:w="1034"/>
        <w:gridCol w:w="2136"/>
        <w:gridCol w:w="6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94" w:type="pct"/>
            <w:vAlign w:val="center"/>
          </w:tcPr>
          <w:p>
            <w:pPr>
              <w:jc w:val="center"/>
              <w:rPr>
                <w:rFonts w:ascii="黑体" w:hAnsi="黑体" w:eastAsia="黑体"/>
              </w:rPr>
            </w:pPr>
            <w:r>
              <w:rPr>
                <w:rFonts w:hint="eastAsia" w:ascii="黑体" w:hAnsi="黑体" w:eastAsia="黑体" w:cs="宋体"/>
              </w:rPr>
              <w:t>序号</w:t>
            </w:r>
          </w:p>
        </w:tc>
        <w:tc>
          <w:tcPr>
            <w:tcW w:w="816" w:type="pct"/>
            <w:vAlign w:val="center"/>
          </w:tcPr>
          <w:p>
            <w:pPr>
              <w:jc w:val="center"/>
              <w:rPr>
                <w:rFonts w:ascii="黑体" w:hAnsi="黑体" w:eastAsia="黑体"/>
              </w:rPr>
            </w:pPr>
            <w:r>
              <w:rPr>
                <w:rFonts w:hint="eastAsia" w:ascii="黑体" w:hAnsi="黑体" w:eastAsia="黑体" w:cs="宋体"/>
              </w:rPr>
              <w:t>会议名称</w:t>
            </w:r>
          </w:p>
        </w:tc>
        <w:tc>
          <w:tcPr>
            <w:tcW w:w="1024" w:type="pct"/>
            <w:vAlign w:val="center"/>
          </w:tcPr>
          <w:p>
            <w:pPr>
              <w:jc w:val="center"/>
              <w:rPr>
                <w:rFonts w:ascii="黑体" w:hAnsi="黑体" w:eastAsia="黑体"/>
              </w:rPr>
            </w:pPr>
            <w:r>
              <w:rPr>
                <w:rFonts w:hint="eastAsia" w:ascii="黑体" w:hAnsi="黑体" w:eastAsia="黑体" w:cs="宋体"/>
              </w:rPr>
              <w:t>主办单位名称</w:t>
            </w:r>
          </w:p>
        </w:tc>
        <w:tc>
          <w:tcPr>
            <w:tcW w:w="607" w:type="pct"/>
            <w:vAlign w:val="center"/>
          </w:tcPr>
          <w:p>
            <w:pPr>
              <w:jc w:val="center"/>
              <w:rPr>
                <w:rFonts w:ascii="黑体" w:hAnsi="黑体" w:eastAsia="黑体"/>
              </w:rPr>
            </w:pPr>
            <w:r>
              <w:rPr>
                <w:rFonts w:hint="eastAsia" w:ascii="黑体" w:hAnsi="黑体" w:eastAsia="黑体" w:cs="宋体"/>
              </w:rPr>
              <w:t>会议主席</w:t>
            </w:r>
          </w:p>
        </w:tc>
        <w:tc>
          <w:tcPr>
            <w:tcW w:w="607" w:type="pct"/>
            <w:vAlign w:val="center"/>
          </w:tcPr>
          <w:p>
            <w:pPr>
              <w:jc w:val="center"/>
              <w:rPr>
                <w:rFonts w:ascii="黑体" w:hAnsi="黑体" w:eastAsia="黑体"/>
              </w:rPr>
            </w:pPr>
            <w:r>
              <w:rPr>
                <w:rFonts w:hint="eastAsia" w:ascii="黑体" w:hAnsi="黑体" w:eastAsia="黑体"/>
              </w:rPr>
              <w:t>参加人数</w:t>
            </w:r>
          </w:p>
        </w:tc>
        <w:tc>
          <w:tcPr>
            <w:tcW w:w="1254" w:type="pct"/>
            <w:vAlign w:val="center"/>
          </w:tcPr>
          <w:p>
            <w:pPr>
              <w:jc w:val="center"/>
              <w:rPr>
                <w:rFonts w:ascii="黑体" w:hAnsi="黑体" w:eastAsia="黑体"/>
              </w:rPr>
            </w:pPr>
            <w:r>
              <w:rPr>
                <w:rFonts w:hint="eastAsia" w:ascii="黑体" w:hAnsi="黑体" w:eastAsia="黑体" w:cs="宋体"/>
              </w:rPr>
              <w:t>时间</w:t>
            </w:r>
          </w:p>
        </w:tc>
        <w:tc>
          <w:tcPr>
            <w:tcW w:w="398" w:type="pct"/>
            <w:vAlign w:val="center"/>
          </w:tcPr>
          <w:p>
            <w:pPr>
              <w:jc w:val="center"/>
              <w:rPr>
                <w:rFonts w:ascii="黑体" w:hAnsi="黑体" w:eastAsia="黑体"/>
              </w:rPr>
            </w:pPr>
            <w:r>
              <w:rPr>
                <w:rFonts w:hint="eastAsia" w:ascii="黑体" w:hAnsi="黑体" w:eastAsia="黑体" w:cs="宋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94" w:type="pct"/>
            <w:vAlign w:val="center"/>
          </w:tcPr>
          <w:p>
            <w:pPr>
              <w:jc w:val="center"/>
              <w:rPr>
                <w:rFonts w:ascii="黑体" w:hAnsi="黑体" w:eastAsia="黑体" w:cs="宋体"/>
              </w:rPr>
            </w:pPr>
            <w:r>
              <w:rPr>
                <w:rFonts w:ascii="黑体" w:hAnsi="黑体" w:eastAsia="黑体" w:cs="宋体"/>
              </w:rPr>
              <w:t>1</w:t>
            </w:r>
          </w:p>
        </w:tc>
        <w:tc>
          <w:tcPr>
            <w:tcW w:w="816" w:type="pct"/>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第四届全国植物病理学教学研讨会</w:t>
            </w:r>
          </w:p>
        </w:tc>
        <w:tc>
          <w:tcPr>
            <w:tcW w:w="1024" w:type="pct"/>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中国植物病理学会教学专业委员会</w:t>
            </w:r>
          </w:p>
        </w:tc>
        <w:tc>
          <w:tcPr>
            <w:tcW w:w="607" w:type="pct"/>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吴学宏</w:t>
            </w:r>
          </w:p>
        </w:tc>
        <w:tc>
          <w:tcPr>
            <w:tcW w:w="607" w:type="pct"/>
            <w:vAlign w:val="center"/>
          </w:tcPr>
          <w:p>
            <w:pP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115 </w:t>
            </w:r>
          </w:p>
        </w:tc>
        <w:tc>
          <w:tcPr>
            <w:tcW w:w="1254" w:type="pct"/>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2021.7.25-28</w:t>
            </w:r>
          </w:p>
        </w:tc>
        <w:tc>
          <w:tcPr>
            <w:tcW w:w="398" w:type="pct"/>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全国会议</w:t>
            </w:r>
          </w:p>
        </w:tc>
      </w:tr>
    </w:tbl>
    <w:p>
      <w:pPr>
        <w:spacing w:before="163" w:beforeLines="50"/>
        <w:ind w:firstLine="480" w:firstLineChars="200"/>
        <w:rPr>
          <w:rFonts w:ascii="楷体" w:hAnsi="楷体" w:eastAsia="楷体"/>
        </w:rPr>
      </w:pPr>
      <w:r>
        <w:rPr>
          <w:rFonts w:hint="eastAsia" w:ascii="楷体" w:hAnsi="楷体" w:eastAsia="楷体"/>
          <w:bCs/>
        </w:rPr>
        <w:t>注</w:t>
      </w:r>
      <w:r>
        <w:rPr>
          <w:rFonts w:hint="eastAsia" w:ascii="楷体" w:hAnsi="楷体" w:eastAsia="楷体"/>
        </w:rPr>
        <w:t>：主办或协办由主管部门、一级学会或示范中心联席会批准的会议。</w:t>
      </w:r>
      <w:r>
        <w:rPr>
          <w:rFonts w:hint="eastAsia" w:ascii="楷体" w:hAnsi="楷体" w:eastAsia="楷体" w:cs="仿宋_GB2312"/>
        </w:rPr>
        <w:t>请按全球性、</w:t>
      </w:r>
      <w:r>
        <w:rPr>
          <w:rFonts w:hint="eastAsia" w:ascii="楷体" w:hAnsi="楷体" w:eastAsia="楷体"/>
        </w:rPr>
        <w:t>区域性</w:t>
      </w:r>
      <w:r>
        <w:rPr>
          <w:rFonts w:hint="eastAsia" w:ascii="楷体" w:hAnsi="楷体" w:eastAsia="楷体" w:cs="仿宋_GB2312"/>
        </w:rPr>
        <w:t>、双边性、全国性等排序，并在类型栏中标明。</w:t>
      </w:r>
    </w:p>
    <w:p>
      <w:pPr>
        <w:spacing w:before="50" w:after="163" w:afterLines="50"/>
        <w:ind w:firstLine="470" w:firstLineChars="196"/>
        <w:rPr>
          <w:rFonts w:ascii="黑体" w:hAnsi="黑体" w:eastAsia="黑体" w:cs="仿宋_GB2312"/>
        </w:rPr>
      </w:pPr>
      <w:r>
        <w:rPr>
          <w:rFonts w:hint="eastAsia" w:ascii="黑体" w:hAnsi="黑体" w:eastAsia="黑体" w:cs="仿宋_GB2312"/>
        </w:rPr>
        <w:t>3.参加大型会议情况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44"/>
        <w:gridCol w:w="2875"/>
        <w:gridCol w:w="896"/>
        <w:gridCol w:w="1885"/>
        <w:gridCol w:w="1628"/>
        <w:gridCol w:w="5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78" w:type="pct"/>
            <w:vAlign w:val="center"/>
          </w:tcPr>
          <w:p>
            <w:pPr>
              <w:jc w:val="center"/>
              <w:rPr>
                <w:rFonts w:ascii="Times New Roman" w:hAnsi="Times New Roman" w:eastAsia="黑体" w:cs="Times New Roman"/>
              </w:rPr>
            </w:pPr>
            <w:r>
              <w:rPr>
                <w:rFonts w:ascii="Times New Roman" w:hAnsi="Times New Roman" w:eastAsia="黑体" w:cs="Times New Roman"/>
              </w:rPr>
              <w:t>序号</w:t>
            </w:r>
          </w:p>
        </w:tc>
        <w:tc>
          <w:tcPr>
            <w:tcW w:w="1688" w:type="pct"/>
            <w:vAlign w:val="center"/>
          </w:tcPr>
          <w:p>
            <w:pPr>
              <w:jc w:val="center"/>
              <w:rPr>
                <w:rFonts w:ascii="Times New Roman" w:hAnsi="Times New Roman" w:eastAsia="黑体" w:cs="Times New Roman"/>
              </w:rPr>
            </w:pPr>
            <w:r>
              <w:rPr>
                <w:rFonts w:ascii="Times New Roman" w:hAnsi="Times New Roman" w:eastAsia="黑体" w:cs="Times New Roman"/>
              </w:rPr>
              <w:t>大会报告名称</w:t>
            </w:r>
          </w:p>
        </w:tc>
        <w:tc>
          <w:tcPr>
            <w:tcW w:w="526" w:type="pct"/>
            <w:vAlign w:val="center"/>
          </w:tcPr>
          <w:p>
            <w:pPr>
              <w:jc w:val="center"/>
              <w:rPr>
                <w:rFonts w:ascii="Times New Roman" w:hAnsi="Times New Roman" w:eastAsia="黑体" w:cs="Times New Roman"/>
              </w:rPr>
            </w:pPr>
            <w:r>
              <w:rPr>
                <w:rFonts w:ascii="Times New Roman" w:hAnsi="Times New Roman" w:eastAsia="黑体" w:cs="Times New Roman"/>
              </w:rPr>
              <w:t>报告人</w:t>
            </w:r>
          </w:p>
        </w:tc>
        <w:tc>
          <w:tcPr>
            <w:tcW w:w="1107" w:type="pct"/>
            <w:vAlign w:val="center"/>
          </w:tcPr>
          <w:p>
            <w:pPr>
              <w:jc w:val="center"/>
              <w:rPr>
                <w:rFonts w:ascii="Times New Roman" w:hAnsi="Times New Roman" w:eastAsia="黑体" w:cs="Times New Roman"/>
              </w:rPr>
            </w:pPr>
            <w:r>
              <w:rPr>
                <w:rFonts w:ascii="Times New Roman" w:hAnsi="Times New Roman" w:eastAsia="黑体" w:cs="Times New Roman"/>
              </w:rPr>
              <w:t>会议名称</w:t>
            </w:r>
          </w:p>
        </w:tc>
        <w:tc>
          <w:tcPr>
            <w:tcW w:w="956" w:type="pct"/>
            <w:vAlign w:val="center"/>
          </w:tcPr>
          <w:p>
            <w:pPr>
              <w:jc w:val="center"/>
              <w:rPr>
                <w:rFonts w:ascii="Times New Roman" w:hAnsi="Times New Roman" w:eastAsia="黑体" w:cs="Times New Roman"/>
              </w:rPr>
            </w:pPr>
            <w:r>
              <w:rPr>
                <w:rFonts w:ascii="Times New Roman" w:hAnsi="Times New Roman" w:eastAsia="黑体" w:cs="Times New Roman"/>
              </w:rPr>
              <w:t>时间</w:t>
            </w:r>
          </w:p>
        </w:tc>
        <w:tc>
          <w:tcPr>
            <w:tcW w:w="345" w:type="pct"/>
            <w:vAlign w:val="center"/>
          </w:tcPr>
          <w:p>
            <w:pPr>
              <w:jc w:val="center"/>
              <w:rPr>
                <w:rFonts w:ascii="Times New Roman" w:hAnsi="Times New Roman" w:eastAsia="黑体" w:cs="Times New Roman"/>
              </w:rPr>
            </w:pPr>
            <w:r>
              <w:rPr>
                <w:rFonts w:ascii="Times New Roman" w:hAnsi="Times New Roman" w:eastAsia="黑体" w:cs="Times New Roman"/>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78" w:type="pct"/>
            <w:vAlign w:val="center"/>
          </w:tcPr>
          <w:p>
            <w:pPr>
              <w:jc w:val="left"/>
              <w:rPr>
                <w:rFonts w:ascii="Times New Roman" w:hAnsi="Times New Roman" w:eastAsia="黑体" w:cs="Times New Roman"/>
                <w:sz w:val="20"/>
                <w:szCs w:val="20"/>
              </w:rPr>
            </w:pPr>
            <w:r>
              <w:rPr>
                <w:rFonts w:ascii="Times New Roman" w:hAnsi="Times New Roman" w:eastAsia="仿宋" w:cs="Times New Roman"/>
                <w:sz w:val="20"/>
                <w:szCs w:val="20"/>
              </w:rPr>
              <w:t>1</w:t>
            </w:r>
          </w:p>
        </w:tc>
        <w:tc>
          <w:tcPr>
            <w:tcW w:w="1688"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大豆高产栽培技术</w:t>
            </w:r>
          </w:p>
        </w:tc>
        <w:tc>
          <w:tcPr>
            <w:tcW w:w="526"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曹亮</w:t>
            </w:r>
          </w:p>
        </w:tc>
        <w:tc>
          <w:tcPr>
            <w:tcW w:w="1107"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辽宁农业职业技术学院报告会</w:t>
            </w:r>
          </w:p>
        </w:tc>
        <w:tc>
          <w:tcPr>
            <w:tcW w:w="956"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2021.11.26</w:t>
            </w:r>
          </w:p>
        </w:tc>
        <w:tc>
          <w:tcPr>
            <w:tcW w:w="345" w:type="pct"/>
            <w:vAlign w:val="bottom"/>
          </w:tcPr>
          <w:p>
            <w:pPr>
              <w:jc w:val="left"/>
              <w:rPr>
                <w:rFonts w:ascii="Times New Roman" w:hAnsi="Times New Roman" w:eastAsia="宋体" w:cs="Times New Roman"/>
                <w:sz w:val="20"/>
                <w:szCs w:val="20"/>
              </w:rPr>
            </w:pPr>
            <w:r>
              <w:rPr>
                <w:rFonts w:ascii="Times New Roman" w:hAnsi="Times New Roman" w:cs="Times New Roman"/>
                <w:sz w:val="20"/>
                <w:szCs w:val="20"/>
              </w:rPr>
              <w:t>线上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78" w:type="pct"/>
            <w:vAlign w:val="center"/>
          </w:tcPr>
          <w:p>
            <w:pPr>
              <w:adjustRightInd w:val="0"/>
              <w:snapToGrid w:val="0"/>
              <w:jc w:val="left"/>
              <w:rPr>
                <w:rFonts w:ascii="Times New Roman" w:hAnsi="Times New Roman" w:eastAsia="仿宋" w:cs="Times New Roman"/>
                <w:sz w:val="20"/>
                <w:szCs w:val="20"/>
              </w:rPr>
            </w:pPr>
            <w:r>
              <w:rPr>
                <w:rFonts w:ascii="Times New Roman" w:hAnsi="Times New Roman" w:eastAsia="仿宋" w:cs="Times New Roman"/>
                <w:sz w:val="20"/>
                <w:szCs w:val="20"/>
              </w:rPr>
              <w:t>2</w:t>
            </w:r>
          </w:p>
        </w:tc>
        <w:tc>
          <w:tcPr>
            <w:tcW w:w="1688"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东北大豆栽培技术</w:t>
            </w:r>
          </w:p>
        </w:tc>
        <w:tc>
          <w:tcPr>
            <w:tcW w:w="526"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张玉先</w:t>
            </w:r>
          </w:p>
        </w:tc>
        <w:tc>
          <w:tcPr>
            <w:tcW w:w="1107"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东北农业大学金陵大豆学校报告</w:t>
            </w:r>
          </w:p>
        </w:tc>
        <w:tc>
          <w:tcPr>
            <w:tcW w:w="956"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2021.11.26</w:t>
            </w:r>
          </w:p>
        </w:tc>
        <w:tc>
          <w:tcPr>
            <w:tcW w:w="345" w:type="pct"/>
            <w:vAlign w:val="center"/>
          </w:tcPr>
          <w:p>
            <w:pPr>
              <w:jc w:val="left"/>
              <w:rPr>
                <w:rFonts w:ascii="Times New Roman" w:hAnsi="Times New Roman" w:eastAsia="宋体" w:cs="Times New Roman"/>
                <w:sz w:val="20"/>
                <w:szCs w:val="20"/>
              </w:rPr>
            </w:pPr>
            <w:r>
              <w:rPr>
                <w:rFonts w:ascii="Times New Roman" w:hAnsi="Times New Roman" w:cs="Times New Roman"/>
                <w:sz w:val="20"/>
                <w:szCs w:val="20"/>
              </w:rPr>
              <w:t>东北农业大学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78" w:type="pct"/>
            <w:vAlign w:val="center"/>
          </w:tcPr>
          <w:p>
            <w:pPr>
              <w:adjustRightInd w:val="0"/>
              <w:snapToGrid w:val="0"/>
              <w:jc w:val="left"/>
              <w:rPr>
                <w:rFonts w:ascii="Times New Roman" w:hAnsi="Times New Roman" w:eastAsia="仿宋" w:cs="Times New Roman"/>
                <w:sz w:val="20"/>
                <w:szCs w:val="20"/>
              </w:rPr>
            </w:pPr>
            <w:r>
              <w:rPr>
                <w:rFonts w:ascii="Times New Roman" w:hAnsi="Times New Roman" w:eastAsia="仿宋" w:cs="Times New Roman"/>
                <w:sz w:val="20"/>
                <w:szCs w:val="20"/>
              </w:rPr>
              <w:t>3</w:t>
            </w:r>
          </w:p>
        </w:tc>
        <w:tc>
          <w:tcPr>
            <w:tcW w:w="1688"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会议主持</w:t>
            </w:r>
          </w:p>
        </w:tc>
        <w:tc>
          <w:tcPr>
            <w:tcW w:w="526"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左豫虎</w:t>
            </w:r>
          </w:p>
        </w:tc>
        <w:tc>
          <w:tcPr>
            <w:tcW w:w="1107"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第四届全国植物病理学教学研讨会</w:t>
            </w:r>
          </w:p>
        </w:tc>
        <w:tc>
          <w:tcPr>
            <w:tcW w:w="956"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2021.07.25</w:t>
            </w:r>
          </w:p>
        </w:tc>
        <w:tc>
          <w:tcPr>
            <w:tcW w:w="345" w:type="pct"/>
            <w:vAlign w:val="bottom"/>
          </w:tcPr>
          <w:p>
            <w:pPr>
              <w:jc w:val="left"/>
              <w:rPr>
                <w:rFonts w:ascii="Times New Roman" w:hAnsi="Times New Roman" w:eastAsia="宋体" w:cs="Times New Roman"/>
                <w:sz w:val="20"/>
                <w:szCs w:val="20"/>
              </w:rPr>
            </w:pPr>
            <w:r>
              <w:rPr>
                <w:rFonts w:ascii="Times New Roman" w:hAnsi="Times New Roman" w:cs="Times New Roman"/>
                <w:sz w:val="20"/>
                <w:szCs w:val="20"/>
              </w:rPr>
              <w:t>大庆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78" w:type="pct"/>
            <w:vAlign w:val="center"/>
          </w:tcPr>
          <w:p>
            <w:pPr>
              <w:adjustRightInd w:val="0"/>
              <w:snapToGrid w:val="0"/>
              <w:jc w:val="left"/>
              <w:rPr>
                <w:rFonts w:ascii="Times New Roman" w:hAnsi="Times New Roman" w:eastAsia="仿宋" w:cs="Times New Roman"/>
                <w:sz w:val="20"/>
                <w:szCs w:val="20"/>
              </w:rPr>
            </w:pPr>
            <w:r>
              <w:rPr>
                <w:rFonts w:ascii="Times New Roman" w:hAnsi="Times New Roman" w:eastAsia="仿宋" w:cs="Times New Roman"/>
                <w:sz w:val="20"/>
                <w:szCs w:val="20"/>
              </w:rPr>
              <w:t>4</w:t>
            </w:r>
          </w:p>
        </w:tc>
        <w:tc>
          <w:tcPr>
            <w:tcW w:w="1688" w:type="pct"/>
            <w:vAlign w:val="bottom"/>
          </w:tcPr>
          <w:p>
            <w:pPr>
              <w:jc w:val="left"/>
              <w:rPr>
                <w:rFonts w:ascii="Times New Roman" w:hAnsi="Times New Roman" w:eastAsia="宋体" w:cs="Times New Roman"/>
                <w:sz w:val="20"/>
                <w:szCs w:val="20"/>
              </w:rPr>
            </w:pPr>
            <w:r>
              <w:rPr>
                <w:rFonts w:ascii="Times New Roman" w:hAnsi="Times New Roman" w:cs="Times New Roman"/>
                <w:sz w:val="20"/>
                <w:szCs w:val="20"/>
              </w:rPr>
              <w:t>病原物的致病性及致病机理</w:t>
            </w:r>
          </w:p>
        </w:tc>
        <w:tc>
          <w:tcPr>
            <w:tcW w:w="526"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殷丽华</w:t>
            </w:r>
          </w:p>
        </w:tc>
        <w:tc>
          <w:tcPr>
            <w:tcW w:w="1107"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第四届全国植物病理学教学研讨会</w:t>
            </w:r>
          </w:p>
        </w:tc>
        <w:tc>
          <w:tcPr>
            <w:tcW w:w="956"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2021.07.26</w:t>
            </w:r>
          </w:p>
        </w:tc>
        <w:tc>
          <w:tcPr>
            <w:tcW w:w="345"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大庆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78" w:type="pct"/>
            <w:vAlign w:val="center"/>
          </w:tcPr>
          <w:p>
            <w:pPr>
              <w:adjustRightInd w:val="0"/>
              <w:snapToGrid w:val="0"/>
              <w:jc w:val="left"/>
              <w:rPr>
                <w:rFonts w:ascii="Times New Roman" w:hAnsi="Times New Roman" w:eastAsia="仿宋" w:cs="Times New Roman"/>
                <w:sz w:val="20"/>
                <w:szCs w:val="20"/>
              </w:rPr>
            </w:pPr>
            <w:r>
              <w:rPr>
                <w:rFonts w:ascii="Times New Roman" w:hAnsi="Times New Roman" w:eastAsia="仿宋" w:cs="Times New Roman"/>
                <w:sz w:val="20"/>
                <w:szCs w:val="20"/>
              </w:rPr>
              <w:t>5</w:t>
            </w:r>
          </w:p>
        </w:tc>
        <w:tc>
          <w:tcPr>
            <w:tcW w:w="1688" w:type="pct"/>
            <w:vAlign w:val="center"/>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木霉菌的开发及设施蔬菜栽培中应用</w:t>
            </w:r>
          </w:p>
        </w:tc>
        <w:tc>
          <w:tcPr>
            <w:tcW w:w="526" w:type="pct"/>
            <w:vAlign w:val="center"/>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杨凤军</w:t>
            </w:r>
          </w:p>
        </w:tc>
        <w:tc>
          <w:tcPr>
            <w:tcW w:w="1107" w:type="pct"/>
            <w:vAlign w:val="center"/>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第三届全国设施园艺绿色生产技术交流会   </w:t>
            </w:r>
          </w:p>
        </w:tc>
        <w:tc>
          <w:tcPr>
            <w:tcW w:w="956" w:type="pct"/>
            <w:vAlign w:val="center"/>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2021.04.18</w:t>
            </w:r>
          </w:p>
        </w:tc>
        <w:tc>
          <w:tcPr>
            <w:tcW w:w="345" w:type="pct"/>
            <w:vAlign w:val="bottom"/>
          </w:tcPr>
          <w:p>
            <w:pPr>
              <w:jc w:val="left"/>
              <w:rPr>
                <w:rFonts w:ascii="Times New Roman" w:hAnsi="Times New Roman" w:eastAsia="宋体" w:cs="Times New Roman"/>
                <w:color w:val="000000"/>
                <w:sz w:val="20"/>
                <w:szCs w:val="20"/>
              </w:rPr>
            </w:pPr>
            <w:r>
              <w:rPr>
                <w:rFonts w:ascii="Times New Roman" w:hAnsi="Times New Roman" w:cs="Times New Roman"/>
                <w:color w:val="000000"/>
                <w:sz w:val="20"/>
                <w:szCs w:val="20"/>
              </w:rPr>
              <w:t>郑州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378" w:type="pct"/>
            <w:vAlign w:val="center"/>
          </w:tcPr>
          <w:p>
            <w:pPr>
              <w:adjustRightInd w:val="0"/>
              <w:snapToGrid w:val="0"/>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6</w:t>
            </w:r>
          </w:p>
        </w:tc>
        <w:tc>
          <w:tcPr>
            <w:tcW w:w="1688" w:type="pct"/>
            <w:vAlign w:val="center"/>
          </w:tcPr>
          <w:p>
            <w:pPr>
              <w:jc w:val="left"/>
              <w:rPr>
                <w:rFonts w:ascii="Times New Roman" w:hAnsi="Times New Roman" w:cs="Times New Roman"/>
                <w:color w:val="000000"/>
                <w:sz w:val="20"/>
                <w:szCs w:val="20"/>
              </w:rPr>
            </w:pPr>
            <w:r>
              <w:rPr>
                <w:rFonts w:ascii="Times New Roman" w:hAnsi="Times New Roman" w:cs="Times New Roman"/>
                <w:color w:val="000000"/>
                <w:sz w:val="20"/>
                <w:szCs w:val="20"/>
              </w:rPr>
              <w:t>Exogenous melatonin enhanced common bean salt tolerance by regulating cell wall pathway at sprout stage</w:t>
            </w:r>
          </w:p>
        </w:tc>
        <w:tc>
          <w:tcPr>
            <w:tcW w:w="526" w:type="pct"/>
            <w:vAlign w:val="center"/>
          </w:tcPr>
          <w:p>
            <w:pPr>
              <w:jc w:val="left"/>
              <w:rPr>
                <w:rFonts w:ascii="Times New Roman" w:hAnsi="Times New Roman" w:cs="Times New Roman"/>
                <w:color w:val="000000"/>
                <w:sz w:val="20"/>
                <w:szCs w:val="20"/>
              </w:rPr>
            </w:pPr>
            <w:r>
              <w:rPr>
                <w:rFonts w:hint="eastAsia" w:ascii="Times New Roman" w:hAnsi="Times New Roman" w:cs="Times New Roman"/>
                <w:color w:val="000000"/>
                <w:sz w:val="20"/>
                <w:szCs w:val="20"/>
              </w:rPr>
              <w:t>杜吉到</w:t>
            </w:r>
          </w:p>
        </w:tc>
        <w:tc>
          <w:tcPr>
            <w:tcW w:w="1107" w:type="pct"/>
            <w:vAlign w:val="center"/>
          </w:tcPr>
          <w:p>
            <w:pPr>
              <w:jc w:val="left"/>
              <w:rPr>
                <w:rFonts w:ascii="Times New Roman" w:hAnsi="Times New Roman" w:cs="Times New Roman"/>
                <w:color w:val="000000"/>
                <w:sz w:val="20"/>
                <w:szCs w:val="20"/>
              </w:rPr>
            </w:pPr>
            <w:r>
              <w:rPr>
                <w:rFonts w:hint="eastAsia" w:ascii="Times New Roman" w:hAnsi="Times New Roman" w:cs="Times New Roman"/>
                <w:color w:val="000000"/>
                <w:sz w:val="20"/>
                <w:szCs w:val="20"/>
              </w:rPr>
              <w:t>国际产学研用合作会议</w:t>
            </w:r>
          </w:p>
        </w:tc>
        <w:tc>
          <w:tcPr>
            <w:tcW w:w="956" w:type="pct"/>
            <w:vAlign w:val="center"/>
          </w:tcPr>
          <w:p>
            <w:pPr>
              <w:jc w:val="left"/>
              <w:rPr>
                <w:rFonts w:ascii="Times New Roman" w:hAnsi="Times New Roman" w:cs="Times New Roman"/>
                <w:color w:val="000000"/>
                <w:sz w:val="20"/>
                <w:szCs w:val="20"/>
              </w:rPr>
            </w:pPr>
            <w:r>
              <w:rPr>
                <w:rFonts w:hint="eastAsia" w:ascii="Times New Roman" w:hAnsi="Times New Roman" w:cs="Times New Roman"/>
                <w:color w:val="000000"/>
                <w:sz w:val="20"/>
                <w:szCs w:val="20"/>
              </w:rPr>
              <w:t>2021.6.16</w:t>
            </w:r>
          </w:p>
        </w:tc>
        <w:tc>
          <w:tcPr>
            <w:tcW w:w="345" w:type="pct"/>
            <w:vAlign w:val="bottom"/>
          </w:tcPr>
          <w:p>
            <w:pPr>
              <w:jc w:val="left"/>
              <w:rPr>
                <w:rFonts w:ascii="Times New Roman" w:hAnsi="Times New Roman" w:cs="Times New Roman"/>
                <w:color w:val="000000"/>
                <w:sz w:val="20"/>
                <w:szCs w:val="20"/>
              </w:rPr>
            </w:pPr>
            <w:r>
              <w:rPr>
                <w:rFonts w:hint="eastAsia" w:ascii="Times New Roman" w:hAnsi="Times New Roman" w:cs="Times New Roman"/>
                <w:color w:val="000000"/>
                <w:sz w:val="20"/>
                <w:szCs w:val="20"/>
              </w:rPr>
              <w:t>哈尔滨</w:t>
            </w:r>
          </w:p>
        </w:tc>
      </w:tr>
    </w:tbl>
    <w:p>
      <w:pPr>
        <w:spacing w:before="163" w:beforeLines="50"/>
        <w:ind w:firstLine="480" w:firstLineChars="200"/>
        <w:rPr>
          <w:rFonts w:ascii="楷体" w:hAnsi="楷体" w:eastAsia="楷体"/>
        </w:rPr>
      </w:pPr>
      <w:r>
        <w:rPr>
          <w:rFonts w:hint="eastAsia" w:ascii="楷体" w:hAnsi="楷体" w:eastAsia="楷体" w:cs="仿宋_GB2312"/>
          <w:bCs/>
        </w:rPr>
        <w:t>注：大会报告：</w:t>
      </w:r>
      <w:r>
        <w:rPr>
          <w:rFonts w:hint="eastAsia" w:ascii="楷体" w:hAnsi="楷体" w:eastAsia="楷体" w:cs="仿宋_GB2312"/>
        </w:rPr>
        <w:t>指特邀报告。</w:t>
      </w:r>
    </w:p>
    <w:p>
      <w:pPr>
        <w:spacing w:before="50" w:after="163" w:afterLines="50"/>
        <w:ind w:firstLine="480" w:firstLineChars="200"/>
        <w:rPr>
          <w:rFonts w:ascii="黑体" w:hAnsi="黑体" w:eastAsia="黑体" w:cs="仿宋_GB2312"/>
        </w:rPr>
      </w:pPr>
      <w:r>
        <w:rPr>
          <w:rFonts w:hint="eastAsia" w:ascii="黑体" w:hAnsi="黑体" w:eastAsia="黑体" w:cs="仿宋_GB2312"/>
        </w:rPr>
        <w:t>4.承办竞赛情况</w:t>
      </w:r>
    </w:p>
    <w:tbl>
      <w:tblPr>
        <w:tblStyle w:val="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01"/>
        <w:gridCol w:w="1997"/>
        <w:gridCol w:w="700"/>
        <w:gridCol w:w="759"/>
        <w:gridCol w:w="619"/>
        <w:gridCol w:w="747"/>
        <w:gridCol w:w="2290"/>
        <w:gridCol w:w="11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0" w:type="auto"/>
            <w:vAlign w:val="center"/>
          </w:tcPr>
          <w:p>
            <w:pPr>
              <w:ind w:left="-120" w:leftChars="-50" w:right="-120" w:rightChars="-50"/>
              <w:jc w:val="center"/>
              <w:rPr>
                <w:rFonts w:ascii="Times New Roman" w:hAnsi="Times New Roman" w:eastAsia="黑体" w:cs="Times New Roman"/>
              </w:rPr>
            </w:pPr>
            <w:r>
              <w:rPr>
                <w:rFonts w:ascii="Times New Roman" w:hAnsi="Times New Roman" w:eastAsia="黑体" w:cs="Times New Roman"/>
              </w:rPr>
              <w:t>序号</w:t>
            </w:r>
          </w:p>
        </w:tc>
        <w:tc>
          <w:tcPr>
            <w:tcW w:w="0" w:type="auto"/>
            <w:vAlign w:val="center"/>
          </w:tcPr>
          <w:p>
            <w:pPr>
              <w:jc w:val="center"/>
              <w:rPr>
                <w:rFonts w:ascii="Times New Roman" w:hAnsi="Times New Roman" w:eastAsia="黑体" w:cs="Times New Roman"/>
              </w:rPr>
            </w:pPr>
            <w:r>
              <w:rPr>
                <w:rFonts w:ascii="Times New Roman" w:hAnsi="Times New Roman" w:eastAsia="黑体" w:cs="Times New Roman"/>
              </w:rPr>
              <w:t>竞赛名称</w:t>
            </w:r>
          </w:p>
        </w:tc>
        <w:tc>
          <w:tcPr>
            <w:tcW w:w="0" w:type="auto"/>
            <w:vAlign w:val="center"/>
          </w:tcPr>
          <w:p>
            <w:pPr>
              <w:jc w:val="center"/>
              <w:rPr>
                <w:rFonts w:ascii="Times New Roman" w:hAnsi="Times New Roman" w:eastAsia="黑体" w:cs="Times New Roman"/>
              </w:rPr>
            </w:pPr>
            <w:r>
              <w:rPr>
                <w:rFonts w:ascii="Times New Roman" w:hAnsi="Times New Roman" w:eastAsia="黑体" w:cs="Times New Roman"/>
              </w:rPr>
              <w:t>竞赛级别</w:t>
            </w:r>
          </w:p>
        </w:tc>
        <w:tc>
          <w:tcPr>
            <w:tcW w:w="0" w:type="auto"/>
            <w:vAlign w:val="center"/>
          </w:tcPr>
          <w:p>
            <w:pPr>
              <w:jc w:val="center"/>
              <w:rPr>
                <w:rFonts w:ascii="Times New Roman" w:hAnsi="Times New Roman" w:eastAsia="黑体" w:cs="Times New Roman"/>
              </w:rPr>
            </w:pPr>
            <w:r>
              <w:rPr>
                <w:rFonts w:ascii="Times New Roman" w:hAnsi="Times New Roman" w:eastAsia="黑体" w:cs="Times New Roman"/>
              </w:rPr>
              <w:t>参赛人数</w:t>
            </w:r>
          </w:p>
        </w:tc>
        <w:tc>
          <w:tcPr>
            <w:tcW w:w="0" w:type="auto"/>
            <w:vAlign w:val="center"/>
          </w:tcPr>
          <w:p>
            <w:pPr>
              <w:jc w:val="center"/>
              <w:rPr>
                <w:rFonts w:ascii="Times New Roman" w:hAnsi="Times New Roman" w:eastAsia="黑体" w:cs="Times New Roman"/>
              </w:rPr>
            </w:pPr>
            <w:r>
              <w:rPr>
                <w:rFonts w:ascii="Times New Roman" w:hAnsi="Times New Roman" w:eastAsia="黑体" w:cs="Times New Roman"/>
              </w:rPr>
              <w:t>负责人</w:t>
            </w:r>
          </w:p>
        </w:tc>
        <w:tc>
          <w:tcPr>
            <w:tcW w:w="0" w:type="auto"/>
            <w:vAlign w:val="center"/>
          </w:tcPr>
          <w:p>
            <w:pPr>
              <w:jc w:val="center"/>
              <w:rPr>
                <w:rFonts w:ascii="Times New Roman" w:hAnsi="Times New Roman" w:eastAsia="黑体" w:cs="Times New Roman"/>
              </w:rPr>
            </w:pPr>
            <w:r>
              <w:rPr>
                <w:rFonts w:ascii="Times New Roman" w:hAnsi="Times New Roman" w:eastAsia="黑体" w:cs="Times New Roman"/>
              </w:rPr>
              <w:t>职称</w:t>
            </w:r>
          </w:p>
        </w:tc>
        <w:tc>
          <w:tcPr>
            <w:tcW w:w="0" w:type="auto"/>
            <w:vAlign w:val="center"/>
          </w:tcPr>
          <w:p>
            <w:pPr>
              <w:jc w:val="center"/>
              <w:rPr>
                <w:rFonts w:ascii="Times New Roman" w:hAnsi="Times New Roman" w:eastAsia="黑体" w:cs="Times New Roman"/>
              </w:rPr>
            </w:pPr>
            <w:r>
              <w:rPr>
                <w:rFonts w:ascii="Times New Roman" w:hAnsi="Times New Roman" w:eastAsia="黑体" w:cs="Times New Roman"/>
              </w:rPr>
              <w:t>起止时间</w:t>
            </w:r>
          </w:p>
        </w:tc>
        <w:tc>
          <w:tcPr>
            <w:tcW w:w="0" w:type="auto"/>
            <w:vAlign w:val="center"/>
          </w:tcPr>
          <w:p>
            <w:pPr>
              <w:jc w:val="center"/>
              <w:rPr>
                <w:rFonts w:ascii="Times New Roman" w:hAnsi="Times New Roman" w:eastAsia="黑体" w:cs="Times New Roman"/>
              </w:rPr>
            </w:pPr>
            <w:r>
              <w:rPr>
                <w:rFonts w:ascii="Times New Roman" w:hAnsi="Times New Roman" w:eastAsia="黑体" w:cs="Times New Roman"/>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0" w:type="auto"/>
            <w:vAlign w:val="center"/>
          </w:tcPr>
          <w:p>
            <w:pPr>
              <w:ind w:left="-120" w:leftChars="-50" w:right="-120" w:rightChars="-50"/>
              <w:jc w:val="center"/>
              <w:rPr>
                <w:rFonts w:ascii="Times New Roman" w:hAnsi="Times New Roman" w:eastAsia="黑体" w:cs="Times New Roman"/>
              </w:rPr>
            </w:pPr>
            <w:r>
              <w:rPr>
                <w:rFonts w:ascii="Times New Roman" w:hAnsi="Times New Roman" w:eastAsia="黑体" w:cs="Times New Roman"/>
              </w:rPr>
              <w:t>1</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第一届昆虫生态微景观比赛</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校级</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180</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刘明</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讲师</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2021.10.29</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0" w:type="auto"/>
            <w:vAlign w:val="center"/>
          </w:tcPr>
          <w:p>
            <w:pPr>
              <w:ind w:left="-120" w:leftChars="-50" w:right="-120" w:rightChars="-50"/>
              <w:jc w:val="center"/>
              <w:rPr>
                <w:rFonts w:ascii="Times New Roman" w:hAnsi="Times New Roman" w:eastAsia="黑体" w:cs="Times New Roman"/>
              </w:rPr>
            </w:pPr>
            <w:r>
              <w:rPr>
                <w:rFonts w:ascii="Times New Roman" w:hAnsi="Times New Roman" w:eastAsia="黑体" w:cs="Times New Roman"/>
              </w:rPr>
              <w:t>2</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第一届昆虫摄影、绘画及标本制作竞赛</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校级</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185</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刘明</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讲师</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2021.11.1—2021.11.30</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0" w:type="auto"/>
            <w:vAlign w:val="center"/>
          </w:tcPr>
          <w:p>
            <w:pPr>
              <w:ind w:left="-120" w:leftChars="-50" w:right="-120" w:rightChars="-50"/>
              <w:jc w:val="center"/>
              <w:rPr>
                <w:rFonts w:ascii="Times New Roman" w:hAnsi="Times New Roman" w:eastAsia="黑体" w:cs="Times New Roman"/>
              </w:rPr>
            </w:pPr>
            <w:r>
              <w:rPr>
                <w:rFonts w:ascii="Times New Roman" w:hAnsi="Times New Roman" w:eastAsia="黑体" w:cs="Times New Roman"/>
              </w:rPr>
              <w:t>3</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第一届植物摄影、病原菌绘画及标本制作竞赛</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校级</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185</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刘明</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讲师</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2021.11.1—2021.11.30</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0" w:type="auto"/>
            <w:vAlign w:val="center"/>
          </w:tcPr>
          <w:p>
            <w:pPr>
              <w:ind w:left="-120" w:leftChars="-50" w:right="-120" w:rightChars="-50"/>
              <w:jc w:val="center"/>
              <w:rPr>
                <w:rFonts w:ascii="Times New Roman" w:hAnsi="Times New Roman" w:eastAsia="黑体" w:cs="Times New Roman"/>
              </w:rPr>
            </w:pPr>
            <w:r>
              <w:rPr>
                <w:rFonts w:ascii="Times New Roman" w:hAnsi="Times New Roman" w:eastAsia="黑体" w:cs="Times New Roman"/>
              </w:rPr>
              <w:t>4</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第一届土壤与植物营养知识技能竞赛</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校级</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62</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陆磊</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初级实验师</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2021.05.23</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0" w:type="auto"/>
            <w:vAlign w:val="center"/>
          </w:tcPr>
          <w:p>
            <w:pPr>
              <w:ind w:left="-120" w:leftChars="-50" w:right="-120" w:rightChars="-50"/>
              <w:jc w:val="center"/>
              <w:rPr>
                <w:rFonts w:ascii="Times New Roman" w:hAnsi="Times New Roman" w:eastAsia="黑体" w:cs="Times New Roman"/>
              </w:rPr>
            </w:pPr>
            <w:r>
              <w:rPr>
                <w:rFonts w:ascii="Times New Roman" w:hAnsi="Times New Roman" w:eastAsia="黑体" w:cs="Times New Roman"/>
              </w:rPr>
              <w:t>5</w:t>
            </w:r>
          </w:p>
        </w:tc>
        <w:tc>
          <w:tcPr>
            <w:tcW w:w="0" w:type="auto"/>
            <w:vAlign w:val="bottom"/>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第1届农学院实验室安全知识竞赛</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校级</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806</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邓杰</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中级实验师</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2021.09</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0" w:type="auto"/>
            <w:vAlign w:val="center"/>
          </w:tcPr>
          <w:p>
            <w:pPr>
              <w:ind w:left="-120" w:leftChars="-50" w:right="-120" w:rightChars="-50"/>
              <w:jc w:val="center"/>
              <w:rPr>
                <w:rFonts w:ascii="Times New Roman" w:hAnsi="Times New Roman" w:eastAsia="黑体" w:cs="Times New Roman"/>
              </w:rPr>
            </w:pPr>
            <w:r>
              <w:rPr>
                <w:rFonts w:ascii="Times New Roman" w:hAnsi="Times New Roman" w:eastAsia="黑体" w:cs="Times New Roman"/>
              </w:rPr>
              <w:t>6</w:t>
            </w:r>
          </w:p>
        </w:tc>
        <w:tc>
          <w:tcPr>
            <w:tcW w:w="0" w:type="auto"/>
            <w:vAlign w:val="bottom"/>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第2届农学院实验室安全知识竞赛</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校级</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58</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邓杰</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中级实验师</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2021.12</w:t>
            </w:r>
          </w:p>
        </w:tc>
        <w:tc>
          <w:tcPr>
            <w:tcW w:w="0" w:type="auto"/>
            <w:vAlign w:val="center"/>
          </w:tcPr>
          <w:p>
            <w:pPr>
              <w:jc w:val="center"/>
              <w:rPr>
                <w:rFonts w:ascii="Times New Roman" w:hAnsi="Times New Roman" w:eastAsia="宋体" w:cs="Times New Roman"/>
                <w:color w:val="000000"/>
                <w:sz w:val="22"/>
                <w:szCs w:val="22"/>
              </w:rPr>
            </w:pPr>
            <w:r>
              <w:rPr>
                <w:rFonts w:ascii="Times New Roman" w:hAnsi="Times New Roman" w:cs="Times New Roman"/>
                <w:color w:val="000000"/>
                <w:sz w:val="22"/>
                <w:szCs w:val="22"/>
              </w:rPr>
              <w:t>0.1</w:t>
            </w:r>
          </w:p>
        </w:tc>
      </w:tr>
    </w:tbl>
    <w:p>
      <w:pPr>
        <w:spacing w:before="163" w:beforeLines="50"/>
        <w:ind w:firstLine="480" w:firstLineChars="200"/>
        <w:rPr>
          <w:rFonts w:ascii="楷体" w:hAnsi="楷体" w:eastAsia="楷体"/>
        </w:rPr>
      </w:pPr>
      <w:r>
        <w:rPr>
          <w:rFonts w:hint="eastAsia" w:ascii="楷体" w:hAnsi="楷体" w:eastAsia="楷体"/>
          <w:bCs/>
        </w:rPr>
        <w:t>注：竞赛级别</w:t>
      </w:r>
      <w:r>
        <w:rPr>
          <w:rFonts w:hint="eastAsia" w:ascii="楷体" w:hAnsi="楷体" w:eastAsia="楷体"/>
        </w:rPr>
        <w:t>按国家级、省级、校级设立排序。</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5.开展科普活动情况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73"/>
        <w:gridCol w:w="1460"/>
        <w:gridCol w:w="1034"/>
        <w:gridCol w:w="54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337" w:type="pct"/>
            <w:vAlign w:val="center"/>
          </w:tcPr>
          <w:p>
            <w:pPr>
              <w:jc w:val="center"/>
              <w:rPr>
                <w:rFonts w:ascii="黑体" w:hAnsi="黑体" w:eastAsia="黑体" w:cs="宋体"/>
              </w:rPr>
            </w:pPr>
            <w:r>
              <w:rPr>
                <w:rFonts w:hint="eastAsia" w:ascii="黑体" w:hAnsi="黑体" w:eastAsia="黑体" w:cs="宋体"/>
              </w:rPr>
              <w:t>序号</w:t>
            </w:r>
          </w:p>
        </w:tc>
        <w:tc>
          <w:tcPr>
            <w:tcW w:w="857" w:type="pct"/>
            <w:vAlign w:val="center"/>
          </w:tcPr>
          <w:p>
            <w:pPr>
              <w:jc w:val="center"/>
              <w:rPr>
                <w:rFonts w:ascii="黑体" w:hAnsi="黑体" w:eastAsia="黑体" w:cs="宋体"/>
              </w:rPr>
            </w:pPr>
            <w:r>
              <w:rPr>
                <w:rFonts w:hint="eastAsia" w:ascii="黑体" w:hAnsi="黑体" w:eastAsia="黑体" w:cs="宋体"/>
              </w:rPr>
              <w:t>活动开展时间</w:t>
            </w:r>
          </w:p>
        </w:tc>
        <w:tc>
          <w:tcPr>
            <w:tcW w:w="607" w:type="pct"/>
            <w:vAlign w:val="center"/>
          </w:tcPr>
          <w:p>
            <w:pPr>
              <w:jc w:val="center"/>
              <w:rPr>
                <w:rFonts w:ascii="黑体" w:hAnsi="黑体" w:eastAsia="黑体" w:cs="宋体"/>
              </w:rPr>
            </w:pPr>
            <w:r>
              <w:rPr>
                <w:rFonts w:hint="eastAsia" w:ascii="黑体" w:hAnsi="黑体" w:eastAsia="黑体" w:cs="宋体"/>
              </w:rPr>
              <w:t>参加人数</w:t>
            </w:r>
          </w:p>
        </w:tc>
        <w:tc>
          <w:tcPr>
            <w:tcW w:w="3199" w:type="pct"/>
            <w:vAlign w:val="center"/>
          </w:tcPr>
          <w:p>
            <w:pPr>
              <w:jc w:val="center"/>
              <w:rPr>
                <w:rFonts w:ascii="黑体" w:hAnsi="黑体" w:eastAsia="黑体" w:cs="宋体"/>
              </w:rPr>
            </w:pPr>
            <w:r>
              <w:rPr>
                <w:rFonts w:hint="eastAsia" w:ascii="黑体" w:hAnsi="黑体" w:eastAsia="黑体" w:cs="宋体"/>
              </w:rPr>
              <w:t>活动报道网址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337" w:type="pct"/>
            <w:vAlign w:val="center"/>
          </w:tcPr>
          <w:p>
            <w:pPr>
              <w:adjustRightInd w:val="0"/>
              <w:snapToGrid w:val="0"/>
              <w:jc w:val="center"/>
              <w:rPr>
                <w:rFonts w:ascii="Times New Roman" w:hAnsi="Times New Roman" w:eastAsia="楷体" w:cs="Times New Roman"/>
                <w:sz w:val="20"/>
                <w:szCs w:val="20"/>
              </w:rPr>
            </w:pPr>
            <w:r>
              <w:rPr>
                <w:rFonts w:ascii="Times New Roman" w:hAnsi="Times New Roman" w:eastAsia="楷体" w:cs="Times New Roman"/>
                <w:sz w:val="20"/>
                <w:szCs w:val="20"/>
              </w:rPr>
              <w:t>1</w:t>
            </w:r>
          </w:p>
        </w:tc>
        <w:tc>
          <w:tcPr>
            <w:tcW w:w="857" w:type="pct"/>
            <w:vAlign w:val="center"/>
          </w:tcPr>
          <w:p>
            <w:pPr>
              <w:adjustRightInd w:val="0"/>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2021.5.12</w:t>
            </w:r>
          </w:p>
        </w:tc>
        <w:tc>
          <w:tcPr>
            <w:tcW w:w="607" w:type="pct"/>
            <w:vAlign w:val="center"/>
          </w:tcPr>
          <w:p>
            <w:pPr>
              <w:adjustRightInd w:val="0"/>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50</w:t>
            </w:r>
          </w:p>
        </w:tc>
        <w:tc>
          <w:tcPr>
            <w:tcW w:w="3199" w:type="pct"/>
            <w:vAlign w:val="center"/>
          </w:tcPr>
          <w:p>
            <w:pPr>
              <w:adjustRightInd w:val="0"/>
              <w:snapToGrid w:val="0"/>
              <w:jc w:val="center"/>
              <w:rPr>
                <w:rFonts w:ascii="Times New Roman" w:hAnsi="Times New Roman" w:eastAsia="仿宋" w:cs="Times New Roman"/>
                <w:sz w:val="20"/>
                <w:szCs w:val="20"/>
              </w:rPr>
            </w:pPr>
            <w:r>
              <w:rPr>
                <w:rFonts w:ascii="Times New Roman" w:hAnsi="Times New Roman" w:cs="Times New Roman"/>
                <w:sz w:val="20"/>
                <w:szCs w:val="20"/>
              </w:rPr>
              <w:t>http://xiaoyouhui.byau.edu.cn/2021/0521/c3083a63233/page.htm</w:t>
            </w:r>
          </w:p>
        </w:tc>
      </w:tr>
    </w:tbl>
    <w:p>
      <w:pPr>
        <w:pStyle w:val="18"/>
        <w:numPr>
          <w:ilvl w:val="0"/>
          <w:numId w:val="2"/>
        </w:numPr>
        <w:spacing w:before="163" w:beforeLines="50" w:after="163" w:afterLines="50"/>
        <w:ind w:firstLineChars="0"/>
        <w:rPr>
          <w:rFonts w:ascii="黑体" w:hAnsi="黑体" w:eastAsia="黑体" w:cs="仿宋_GB2312"/>
        </w:rPr>
      </w:pPr>
      <w:r>
        <w:rPr>
          <w:rFonts w:hint="eastAsia" w:ascii="黑体" w:hAnsi="黑体" w:eastAsia="黑体" w:cs="仿宋_GB2312"/>
        </w:rPr>
        <w:t>承办培训情况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13"/>
        <w:gridCol w:w="3269"/>
        <w:gridCol w:w="634"/>
        <w:gridCol w:w="576"/>
        <w:gridCol w:w="559"/>
        <w:gridCol w:w="1967"/>
        <w:gridCol w:w="9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jc w:val="center"/>
              <w:rPr>
                <w:rFonts w:ascii="黑体" w:hAnsi="黑体" w:eastAsia="黑体"/>
              </w:rPr>
            </w:pPr>
            <w:r>
              <w:rPr>
                <w:rFonts w:ascii="黑体" w:hAnsi="黑体" w:eastAsia="黑体"/>
              </w:rPr>
              <w:t>序号</w:t>
            </w:r>
          </w:p>
        </w:tc>
        <w:tc>
          <w:tcPr>
            <w:tcW w:w="1918" w:type="pct"/>
            <w:vAlign w:val="center"/>
          </w:tcPr>
          <w:p>
            <w:pPr>
              <w:jc w:val="center"/>
              <w:rPr>
                <w:rFonts w:ascii="黑体" w:hAnsi="黑体" w:eastAsia="黑体"/>
              </w:rPr>
            </w:pPr>
            <w:r>
              <w:rPr>
                <w:rFonts w:ascii="黑体" w:hAnsi="黑体" w:eastAsia="黑体"/>
              </w:rPr>
              <w:t>培训项目名称</w:t>
            </w:r>
          </w:p>
        </w:tc>
        <w:tc>
          <w:tcPr>
            <w:tcW w:w="372" w:type="pct"/>
            <w:vAlign w:val="center"/>
          </w:tcPr>
          <w:p>
            <w:pPr>
              <w:jc w:val="center"/>
              <w:rPr>
                <w:rFonts w:ascii="黑体" w:hAnsi="黑体" w:eastAsia="黑体"/>
              </w:rPr>
            </w:pPr>
            <w:r>
              <w:rPr>
                <w:rFonts w:ascii="黑体" w:hAnsi="黑体" w:eastAsia="黑体"/>
              </w:rPr>
              <w:t>培训人数</w:t>
            </w:r>
          </w:p>
        </w:tc>
        <w:tc>
          <w:tcPr>
            <w:tcW w:w="338" w:type="pct"/>
            <w:vAlign w:val="center"/>
          </w:tcPr>
          <w:p>
            <w:pPr>
              <w:jc w:val="center"/>
              <w:rPr>
                <w:rFonts w:ascii="黑体" w:hAnsi="黑体" w:eastAsia="黑体"/>
              </w:rPr>
            </w:pPr>
            <w:r>
              <w:rPr>
                <w:rFonts w:ascii="黑体" w:hAnsi="黑体" w:eastAsia="黑体"/>
              </w:rPr>
              <w:t>负责人</w:t>
            </w:r>
          </w:p>
        </w:tc>
        <w:tc>
          <w:tcPr>
            <w:tcW w:w="328" w:type="pct"/>
            <w:vAlign w:val="center"/>
          </w:tcPr>
          <w:p>
            <w:pPr>
              <w:jc w:val="center"/>
              <w:rPr>
                <w:rFonts w:ascii="黑体" w:hAnsi="黑体" w:eastAsia="黑体"/>
              </w:rPr>
            </w:pPr>
            <w:r>
              <w:rPr>
                <w:rFonts w:ascii="黑体" w:hAnsi="黑体" w:eastAsia="黑体"/>
              </w:rPr>
              <w:t>职称</w:t>
            </w:r>
          </w:p>
        </w:tc>
        <w:tc>
          <w:tcPr>
            <w:tcW w:w="1154" w:type="pct"/>
            <w:vAlign w:val="center"/>
          </w:tcPr>
          <w:p>
            <w:pPr>
              <w:jc w:val="center"/>
              <w:rPr>
                <w:rFonts w:ascii="黑体" w:hAnsi="黑体" w:eastAsia="黑体"/>
              </w:rPr>
            </w:pPr>
            <w:r>
              <w:rPr>
                <w:rFonts w:ascii="黑体" w:hAnsi="黑体" w:eastAsia="黑体"/>
              </w:rPr>
              <w:t>起止时间</w:t>
            </w:r>
          </w:p>
        </w:tc>
        <w:tc>
          <w:tcPr>
            <w:tcW w:w="585" w:type="pct"/>
            <w:vAlign w:val="center"/>
          </w:tcPr>
          <w:p>
            <w:pPr>
              <w:jc w:val="center"/>
              <w:rPr>
                <w:rFonts w:ascii="黑体" w:hAnsi="黑体" w:eastAsia="黑体"/>
              </w:rPr>
            </w:pPr>
            <w:r>
              <w:rPr>
                <w:rFonts w:ascii="黑体" w:hAnsi="黑体" w:eastAsia="黑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pStyle w:val="18"/>
              <w:numPr>
                <w:ilvl w:val="0"/>
                <w:numId w:val="6"/>
              </w:numPr>
              <w:ind w:firstLineChars="0"/>
              <w:jc w:val="center"/>
              <w:rPr>
                <w:rFonts w:ascii="Times New Roman" w:hAnsi="Times New Roman" w:eastAsia="宋体" w:cs="Times New Roman"/>
                <w:sz w:val="20"/>
                <w:szCs w:val="20"/>
              </w:rPr>
            </w:pPr>
          </w:p>
        </w:tc>
        <w:tc>
          <w:tcPr>
            <w:tcW w:w="1918"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2021年农药经营者培训班</w:t>
            </w:r>
          </w:p>
        </w:tc>
        <w:tc>
          <w:tcPr>
            <w:tcW w:w="37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33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孙强</w:t>
            </w:r>
          </w:p>
        </w:tc>
        <w:tc>
          <w:tcPr>
            <w:tcW w:w="32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副高级</w:t>
            </w:r>
          </w:p>
        </w:tc>
        <w:tc>
          <w:tcPr>
            <w:tcW w:w="1154"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20210507-20210513</w:t>
            </w:r>
          </w:p>
        </w:tc>
        <w:tc>
          <w:tcPr>
            <w:tcW w:w="58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pStyle w:val="18"/>
              <w:numPr>
                <w:ilvl w:val="0"/>
                <w:numId w:val="6"/>
              </w:numPr>
              <w:ind w:firstLineChars="0"/>
              <w:jc w:val="center"/>
              <w:rPr>
                <w:rFonts w:ascii="Times New Roman" w:hAnsi="Times New Roman" w:eastAsia="宋体" w:cs="Times New Roman"/>
                <w:sz w:val="20"/>
                <w:szCs w:val="20"/>
              </w:rPr>
            </w:pPr>
          </w:p>
        </w:tc>
        <w:tc>
          <w:tcPr>
            <w:tcW w:w="1918"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2021阿城区基层农技推广体系骨干人才（畜牧）培训班</w:t>
            </w:r>
          </w:p>
        </w:tc>
        <w:tc>
          <w:tcPr>
            <w:tcW w:w="37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33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孙强</w:t>
            </w:r>
          </w:p>
        </w:tc>
        <w:tc>
          <w:tcPr>
            <w:tcW w:w="32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副高级</w:t>
            </w:r>
          </w:p>
        </w:tc>
        <w:tc>
          <w:tcPr>
            <w:tcW w:w="1154"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20210510-20210514</w:t>
            </w:r>
          </w:p>
        </w:tc>
        <w:tc>
          <w:tcPr>
            <w:tcW w:w="58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pStyle w:val="18"/>
              <w:numPr>
                <w:ilvl w:val="0"/>
                <w:numId w:val="6"/>
              </w:numPr>
              <w:ind w:firstLineChars="0"/>
              <w:jc w:val="center"/>
              <w:rPr>
                <w:rFonts w:ascii="Times New Roman" w:hAnsi="Times New Roman" w:eastAsia="宋体" w:cs="Times New Roman"/>
                <w:sz w:val="20"/>
                <w:szCs w:val="20"/>
              </w:rPr>
            </w:pPr>
          </w:p>
        </w:tc>
        <w:tc>
          <w:tcPr>
            <w:tcW w:w="1918"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2021特泥河财务培训班</w:t>
            </w:r>
          </w:p>
        </w:tc>
        <w:tc>
          <w:tcPr>
            <w:tcW w:w="37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33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孙强</w:t>
            </w:r>
          </w:p>
        </w:tc>
        <w:tc>
          <w:tcPr>
            <w:tcW w:w="32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副高级</w:t>
            </w:r>
          </w:p>
        </w:tc>
        <w:tc>
          <w:tcPr>
            <w:tcW w:w="1154"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20210526-20210529</w:t>
            </w:r>
          </w:p>
        </w:tc>
        <w:tc>
          <w:tcPr>
            <w:tcW w:w="58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pStyle w:val="18"/>
              <w:numPr>
                <w:ilvl w:val="0"/>
                <w:numId w:val="6"/>
              </w:numPr>
              <w:ind w:firstLineChars="0"/>
              <w:jc w:val="center"/>
              <w:rPr>
                <w:rFonts w:ascii="Times New Roman" w:hAnsi="Times New Roman" w:eastAsia="宋体" w:cs="Times New Roman"/>
                <w:sz w:val="20"/>
                <w:szCs w:val="20"/>
              </w:rPr>
            </w:pPr>
          </w:p>
        </w:tc>
        <w:tc>
          <w:tcPr>
            <w:tcW w:w="1918"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齐齐哈尔分公司2021年农（牧）场农业和市场营销人员能力提升培训</w:t>
            </w:r>
          </w:p>
        </w:tc>
        <w:tc>
          <w:tcPr>
            <w:tcW w:w="37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33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孙强</w:t>
            </w:r>
          </w:p>
        </w:tc>
        <w:tc>
          <w:tcPr>
            <w:tcW w:w="32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副高级</w:t>
            </w:r>
          </w:p>
        </w:tc>
        <w:tc>
          <w:tcPr>
            <w:tcW w:w="1154"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20210615-20210629</w:t>
            </w:r>
          </w:p>
        </w:tc>
        <w:tc>
          <w:tcPr>
            <w:tcW w:w="58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41.325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pStyle w:val="18"/>
              <w:numPr>
                <w:ilvl w:val="0"/>
                <w:numId w:val="6"/>
              </w:numPr>
              <w:ind w:firstLineChars="0"/>
              <w:jc w:val="center"/>
              <w:rPr>
                <w:rFonts w:ascii="Times New Roman" w:hAnsi="Times New Roman" w:eastAsia="宋体" w:cs="Times New Roman"/>
                <w:sz w:val="20"/>
                <w:szCs w:val="20"/>
              </w:rPr>
            </w:pPr>
          </w:p>
        </w:tc>
        <w:tc>
          <w:tcPr>
            <w:tcW w:w="1918"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2021年通河县农田项目服务中心农业人员能力提升</w:t>
            </w:r>
          </w:p>
        </w:tc>
        <w:tc>
          <w:tcPr>
            <w:tcW w:w="37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33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孙强</w:t>
            </w:r>
          </w:p>
        </w:tc>
        <w:tc>
          <w:tcPr>
            <w:tcW w:w="32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副高级</w:t>
            </w:r>
          </w:p>
        </w:tc>
        <w:tc>
          <w:tcPr>
            <w:tcW w:w="1154"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20210615-20210626</w:t>
            </w:r>
          </w:p>
        </w:tc>
        <w:tc>
          <w:tcPr>
            <w:tcW w:w="58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pStyle w:val="18"/>
              <w:numPr>
                <w:ilvl w:val="0"/>
                <w:numId w:val="6"/>
              </w:numPr>
              <w:ind w:firstLineChars="0"/>
              <w:jc w:val="center"/>
              <w:rPr>
                <w:rFonts w:ascii="Times New Roman" w:hAnsi="Times New Roman" w:eastAsia="宋体" w:cs="Times New Roman"/>
                <w:sz w:val="20"/>
                <w:szCs w:val="20"/>
              </w:rPr>
            </w:pPr>
          </w:p>
        </w:tc>
        <w:tc>
          <w:tcPr>
            <w:tcW w:w="1918"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呼伦贝尔农垦集团2021年农（牧）场农业和市场营销人员能力提升培训</w:t>
            </w:r>
          </w:p>
        </w:tc>
        <w:tc>
          <w:tcPr>
            <w:tcW w:w="37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33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孙强</w:t>
            </w:r>
          </w:p>
        </w:tc>
        <w:tc>
          <w:tcPr>
            <w:tcW w:w="32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副高级</w:t>
            </w:r>
          </w:p>
        </w:tc>
        <w:tc>
          <w:tcPr>
            <w:tcW w:w="1154"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20210615-20210829</w:t>
            </w:r>
          </w:p>
        </w:tc>
        <w:tc>
          <w:tcPr>
            <w:tcW w:w="58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pStyle w:val="18"/>
              <w:numPr>
                <w:ilvl w:val="0"/>
                <w:numId w:val="6"/>
              </w:numPr>
              <w:ind w:firstLineChars="0"/>
              <w:jc w:val="center"/>
              <w:rPr>
                <w:rFonts w:ascii="Times New Roman" w:hAnsi="Times New Roman" w:eastAsia="宋体" w:cs="Times New Roman"/>
                <w:sz w:val="20"/>
                <w:szCs w:val="20"/>
              </w:rPr>
            </w:pPr>
          </w:p>
        </w:tc>
        <w:tc>
          <w:tcPr>
            <w:tcW w:w="1918"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2021年依兰县基层农技推广体系改革与补助项目培训</w:t>
            </w:r>
          </w:p>
        </w:tc>
        <w:tc>
          <w:tcPr>
            <w:tcW w:w="37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33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孙强</w:t>
            </w:r>
          </w:p>
        </w:tc>
        <w:tc>
          <w:tcPr>
            <w:tcW w:w="32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副高级</w:t>
            </w:r>
          </w:p>
        </w:tc>
        <w:tc>
          <w:tcPr>
            <w:tcW w:w="1154"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20210906-20210911</w:t>
            </w:r>
          </w:p>
        </w:tc>
        <w:tc>
          <w:tcPr>
            <w:tcW w:w="58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01" w:type="pct"/>
            <w:vAlign w:val="center"/>
          </w:tcPr>
          <w:p>
            <w:pPr>
              <w:pStyle w:val="18"/>
              <w:numPr>
                <w:ilvl w:val="0"/>
                <w:numId w:val="6"/>
              </w:numPr>
              <w:ind w:firstLineChars="0"/>
              <w:jc w:val="center"/>
              <w:rPr>
                <w:rFonts w:ascii="Times New Roman" w:hAnsi="Times New Roman" w:eastAsia="宋体" w:cs="Times New Roman"/>
                <w:sz w:val="20"/>
                <w:szCs w:val="20"/>
              </w:rPr>
            </w:pPr>
          </w:p>
        </w:tc>
        <w:tc>
          <w:tcPr>
            <w:tcW w:w="1918"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2021年延寿县基层农技推广体系改革与补助项目培训</w:t>
            </w:r>
          </w:p>
        </w:tc>
        <w:tc>
          <w:tcPr>
            <w:tcW w:w="372"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33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孙强</w:t>
            </w:r>
          </w:p>
        </w:tc>
        <w:tc>
          <w:tcPr>
            <w:tcW w:w="328" w:type="pct"/>
            <w:vAlign w:val="center"/>
          </w:tcPr>
          <w:p>
            <w:pPr>
              <w:jc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副高级</w:t>
            </w:r>
          </w:p>
        </w:tc>
        <w:tc>
          <w:tcPr>
            <w:tcW w:w="1154"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20210906-20210911</w:t>
            </w:r>
          </w:p>
        </w:tc>
        <w:tc>
          <w:tcPr>
            <w:tcW w:w="585" w:type="pct"/>
            <w:vAlign w:val="center"/>
          </w:tcPr>
          <w:p>
            <w:pP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3.735</w:t>
            </w:r>
          </w:p>
        </w:tc>
      </w:tr>
    </w:tbl>
    <w:p>
      <w:pPr>
        <w:ind w:firstLine="480" w:firstLineChars="200"/>
        <w:rPr>
          <w:rFonts w:ascii="楷体" w:hAnsi="楷体" w:eastAsia="楷体" w:cs="仿宋_GB2312"/>
        </w:rPr>
      </w:pPr>
      <w:r>
        <w:rPr>
          <w:rFonts w:hint="eastAsia" w:ascii="楷体" w:hAnsi="楷体" w:eastAsia="楷体" w:cs="仿宋_GB2312"/>
        </w:rPr>
        <w:t>注：培训项目以正式文件为准，培训人数以签到表为准。</w:t>
      </w:r>
    </w:p>
    <w:p>
      <w:pPr>
        <w:spacing w:before="163" w:beforeLines="50"/>
        <w:ind w:firstLine="560" w:firstLineChars="200"/>
        <w:rPr>
          <w:rFonts w:ascii="黑体" w:hAnsi="黑体" w:eastAsia="黑体"/>
          <w:sz w:val="28"/>
          <w:szCs w:val="28"/>
        </w:rPr>
      </w:pPr>
      <w:r>
        <w:rPr>
          <w:rFonts w:hint="eastAsia" w:ascii="黑体" w:hAnsi="黑体" w:eastAsia="黑体"/>
          <w:sz w:val="28"/>
          <w:szCs w:val="28"/>
        </w:rPr>
        <w:t>（三）安全工作情况</w:t>
      </w:r>
    </w:p>
    <w:tbl>
      <w:tblPr>
        <w:tblStyle w:val="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28"/>
        <w:gridCol w:w="2129"/>
        <w:gridCol w:w="42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4261"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安全教育培训情况</w:t>
            </w:r>
          </w:p>
        </w:tc>
        <w:tc>
          <w:tcPr>
            <w:tcW w:w="4261" w:type="dxa"/>
            <w:vAlign w:val="center"/>
          </w:tcPr>
          <w:p>
            <w:pPr>
              <w:adjustRightInd w:val="0"/>
              <w:snapToGrid w:val="0"/>
              <w:jc w:val="center"/>
              <w:rPr>
                <w:rFonts w:ascii="楷体" w:hAnsi="楷体" w:eastAsia="楷体" w:cs="Times New Roman"/>
                <w:bCs/>
              </w:rPr>
            </w:pPr>
            <w:r>
              <w:rPr>
                <w:rFonts w:hint="eastAsia" w:ascii="楷体" w:hAnsi="楷体" w:eastAsia="楷体" w:cs="Times New Roman"/>
                <w:bCs/>
              </w:rPr>
              <w:t>500人次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8522" w:type="dxa"/>
            <w:gridSpan w:val="3"/>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是否发生安全责任事故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4260"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伤亡人数（人）</w:t>
            </w:r>
          </w:p>
        </w:tc>
        <w:tc>
          <w:tcPr>
            <w:tcW w:w="4262" w:type="dxa"/>
            <w:vMerge w:val="restart"/>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未发生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w:t>
            </w:r>
          </w:p>
        </w:tc>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亡</w:t>
            </w:r>
          </w:p>
        </w:tc>
        <w:tc>
          <w:tcPr>
            <w:tcW w:w="4262" w:type="dxa"/>
            <w:vMerge w:val="continue"/>
            <w:vAlign w:val="center"/>
          </w:tcPr>
          <w:p>
            <w:pPr>
              <w:adjustRightInd w:val="0"/>
              <w:snapToGrid w:val="0"/>
              <w:jc w:val="center"/>
              <w:rPr>
                <w:rFonts w:ascii="仿宋" w:hAnsi="仿宋" w:eastAsia="仿宋" w:cs="Times New Roman"/>
                <w:bCs/>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2130"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4262" w:type="dxa"/>
            <w:vAlign w:val="center"/>
          </w:tcPr>
          <w:p>
            <w:pPr>
              <w:adjustRightInd w:val="0"/>
              <w:snapToGrid w:val="0"/>
              <w:jc w:val="center"/>
              <w:rPr>
                <w:rFonts w:ascii="仿宋" w:hAnsi="仿宋" w:eastAsia="仿宋" w:cs="Times New Roman"/>
                <w:bCs/>
                <w:sz w:val="28"/>
                <w:szCs w:val="28"/>
              </w:rPr>
            </w:pPr>
            <w:r>
              <w:rPr>
                <w:rFonts w:ascii="Arial" w:hAnsi="Arial" w:eastAsia="仿宋" w:cs="Arial"/>
                <w:bCs/>
                <w:sz w:val="28"/>
                <w:szCs w:val="28"/>
              </w:rPr>
              <w:t>√</w:t>
            </w:r>
          </w:p>
        </w:tc>
      </w:tr>
    </w:tbl>
    <w:p>
      <w:pPr>
        <w:adjustRightInd w:val="0"/>
        <w:snapToGrid w:val="0"/>
        <w:ind w:firstLine="480" w:firstLineChars="200"/>
        <w:rPr>
          <w:rFonts w:ascii="楷体" w:hAnsi="楷体" w:eastAsia="楷体" w:cs="Times New Roman"/>
          <w:bCs/>
        </w:rPr>
      </w:pPr>
      <w:r>
        <w:rPr>
          <w:rFonts w:hint="eastAsia" w:ascii="楷体" w:hAnsi="楷体" w:eastAsia="楷体" w:cs="Times New Roman"/>
          <w:bCs/>
        </w:rPr>
        <w:t>注：安全责任事故以所在高校发布的安全责任事故通报文件为准。如未发生安全责任事故，请在其下方表格打钩。如发生安全责任事故，请说明伤亡人数。</w:t>
      </w:r>
    </w:p>
    <w:p>
      <w:pPr>
        <w:adjustRightInd w:val="0"/>
        <w:snapToGrid w:val="0"/>
        <w:spacing w:before="163" w:beforeLines="50"/>
        <w:ind w:firstLine="480" w:firstLineChars="200"/>
        <w:rPr>
          <w:rFonts w:ascii="楷体" w:hAnsi="楷体" w:eastAsia="楷体" w:cs="Times New Roman"/>
        </w:rPr>
      </w:pPr>
    </w:p>
    <w:p>
      <w:pPr>
        <w:adjustRightInd w:val="0"/>
        <w:snapToGrid w:val="0"/>
        <w:spacing w:before="163" w:beforeLines="50"/>
        <w:ind w:firstLine="480" w:firstLineChars="200"/>
        <w:rPr>
          <w:rFonts w:ascii="楷体" w:hAnsi="楷体" w:eastAsia="楷体" w:cs="Times New Roman"/>
        </w:rPr>
      </w:pPr>
    </w:p>
    <w:p>
      <w:pPr>
        <w:adjustRightInd w:val="0"/>
        <w:snapToGrid w:val="0"/>
        <w:spacing w:before="163" w:beforeLines="50"/>
        <w:ind w:firstLine="480" w:firstLineChars="200"/>
        <w:rPr>
          <w:rFonts w:ascii="楷体" w:hAnsi="楷体" w:eastAsia="楷体" w:cs="Times New Roman"/>
        </w:rPr>
      </w:pPr>
    </w:p>
    <w:p>
      <w:pPr>
        <w:adjustRightInd w:val="0"/>
        <w:snapToGrid w:val="0"/>
        <w:spacing w:before="163" w:beforeLines="50"/>
        <w:ind w:firstLine="480" w:firstLineChars="200"/>
        <w:rPr>
          <w:rFonts w:ascii="楷体" w:hAnsi="楷体" w:eastAsia="楷体" w:cs="Times New Roman"/>
        </w:rPr>
      </w:pPr>
    </w:p>
    <w:p>
      <w:pPr>
        <w:adjustRightInd w:val="0"/>
        <w:snapToGrid w:val="0"/>
        <w:spacing w:before="163" w:beforeLines="50"/>
        <w:ind w:firstLine="480" w:firstLineChars="200"/>
        <w:rPr>
          <w:rFonts w:ascii="楷体" w:hAnsi="楷体" w:eastAsia="楷体" w:cs="Times New Roman"/>
        </w:rPr>
      </w:pPr>
    </w:p>
    <w:p>
      <w:pPr>
        <w:adjustRightInd w:val="0"/>
        <w:snapToGrid w:val="0"/>
        <w:spacing w:before="163" w:beforeLines="50"/>
        <w:ind w:firstLine="480" w:firstLineChars="200"/>
        <w:rPr>
          <w:rFonts w:ascii="楷体" w:hAnsi="楷体" w:eastAsia="楷体" w:cs="Times New Roman"/>
        </w:rPr>
      </w:pPr>
    </w:p>
    <w:p>
      <w:pPr>
        <w:adjustRightInd w:val="0"/>
        <w:snapToGrid w:val="0"/>
        <w:spacing w:before="163" w:beforeLines="50"/>
        <w:ind w:firstLine="480" w:firstLineChars="200"/>
        <w:rPr>
          <w:rFonts w:ascii="楷体" w:hAnsi="楷体" w:eastAsia="楷体" w:cs="Times New Roman"/>
        </w:rPr>
      </w:pPr>
    </w:p>
    <w:p>
      <w:pPr>
        <w:adjustRightInd w:val="0"/>
        <w:snapToGrid w:val="0"/>
        <w:spacing w:before="163" w:beforeLines="50"/>
        <w:ind w:firstLine="643" w:firstLineChars="200"/>
        <w:rPr>
          <w:rFonts w:ascii="黑体" w:hAnsi="黑体" w:eastAsia="黑体" w:cs="Times New Roman"/>
          <w:b/>
          <w:bCs/>
          <w:sz w:val="32"/>
          <w:szCs w:val="32"/>
        </w:rPr>
      </w:pPr>
      <w:r>
        <w:rPr>
          <w:rFonts w:hint="eastAsia" w:ascii="黑体" w:hAnsi="黑体" w:eastAsia="黑体" w:cs="Times New Roman"/>
          <w:b/>
          <w:bCs/>
          <w:sz w:val="32"/>
          <w:szCs w:val="32"/>
        </w:rPr>
        <w:t>六</w:t>
      </w:r>
      <w:r>
        <w:rPr>
          <w:rFonts w:ascii="黑体" w:hAnsi="黑体" w:eastAsia="黑体" w:cs="Times New Roman"/>
          <w:b/>
          <w:bCs/>
          <w:sz w:val="32"/>
          <w:szCs w:val="32"/>
        </w:rPr>
        <w:t>、审核意见</w:t>
      </w:r>
    </w:p>
    <w:p>
      <w:pPr>
        <w:adjustRightInd w:val="0"/>
        <w:snapToGrid w:val="0"/>
        <w:spacing w:before="163" w:beforeLines="50" w:after="163" w:afterLines="50"/>
        <w:ind w:firstLine="560" w:firstLineChars="200"/>
        <w:rPr>
          <w:rFonts w:ascii="黑体" w:hAnsi="黑体" w:eastAsia="黑体" w:cs="Times New Roman"/>
          <w:sz w:val="28"/>
          <w:szCs w:val="28"/>
        </w:rPr>
      </w:pPr>
      <w:r>
        <w:rPr>
          <w:rFonts w:hint="eastAsia" w:ascii="黑体" w:hAnsi="黑体" w:eastAsia="黑体" w:cs="Times New Roman"/>
          <w:sz w:val="28"/>
          <w:szCs w:val="28"/>
        </w:rPr>
        <w:t>（一）示范中心负责人意见</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jc w:val="center"/>
        </w:trPr>
        <w:tc>
          <w:tcPr>
            <w:tcW w:w="5000" w:type="pct"/>
          </w:tcPr>
          <w:p>
            <w:pPr>
              <w:adjustRightInd w:val="0"/>
              <w:snapToGrid w:val="0"/>
              <w:spacing w:before="65" w:beforeLines="20"/>
              <w:ind w:firstLine="480" w:firstLineChars="200"/>
              <w:rPr>
                <w:rFonts w:ascii="楷体" w:hAnsi="楷体" w:eastAsia="楷体" w:cs="Times New Roman"/>
              </w:rPr>
            </w:pPr>
            <w:r>
              <w:rPr>
                <w:rFonts w:hint="eastAsia" w:ascii="楷体" w:hAnsi="楷体" w:eastAsia="楷体" w:cs="Times New Roman"/>
              </w:rPr>
              <w:t>（示范中心</w:t>
            </w:r>
            <w:r>
              <w:rPr>
                <w:rFonts w:ascii="楷体" w:hAnsi="楷体" w:eastAsia="楷体" w:cs="Times New Roman"/>
              </w:rPr>
              <w:t>承诺所填内容属实，数据准确可靠。</w:t>
            </w:r>
            <w:r>
              <w:rPr>
                <w:rFonts w:hint="eastAsia" w:ascii="楷体" w:hAnsi="楷体" w:eastAsia="楷体" w:cs="Times New Roman"/>
              </w:rPr>
              <w:t>）</w:t>
            </w:r>
          </w:p>
          <w:p>
            <w:pPr>
              <w:adjustRightInd w:val="0"/>
              <w:snapToGrid w:val="0"/>
              <w:rPr>
                <w:rFonts w:ascii="楷体" w:hAnsi="楷体" w:eastAsia="楷体" w:cs="Times New Roman"/>
              </w:rPr>
            </w:pPr>
          </w:p>
          <w:p>
            <w:pPr>
              <w:adjustRightInd w:val="0"/>
              <w:snapToGrid w:val="0"/>
              <w:rPr>
                <w:rFonts w:ascii="楷体" w:hAnsi="楷体" w:eastAsia="楷体" w:cs="Times New Roman"/>
                <w:strike/>
              </w:rPr>
            </w:pPr>
          </w:p>
          <w:p>
            <w:pPr>
              <w:adjustRightInd w:val="0"/>
              <w:snapToGrid w:val="0"/>
              <w:ind w:firstLine="720" w:firstLineChars="300"/>
              <w:rPr>
                <w:rFonts w:hint="eastAsia" w:ascii="楷体" w:hAnsi="楷体" w:eastAsia="楷体" w:cs="Times New Roman"/>
                <w:lang w:eastAsia="zh-CN"/>
              </w:rPr>
            </w:pPr>
            <w:r>
              <w:rPr>
                <w:rFonts w:hint="eastAsia" w:ascii="楷体" w:hAnsi="楷体" w:eastAsia="楷体" w:cs="Times New Roman"/>
                <w:lang w:eastAsia="zh-CN"/>
              </w:rPr>
              <w:t>示范中心承诺，所填内容属实，数据准确可靠。</w:t>
            </w: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spacing w:line="460" w:lineRule="exact"/>
              <w:ind w:right="1706" w:rightChars="711"/>
              <w:jc w:val="right"/>
              <w:rPr>
                <w:rFonts w:ascii="楷体" w:hAnsi="楷体" w:eastAsia="楷体" w:cs="Times New Roman"/>
              </w:rPr>
            </w:pPr>
            <w:r>
              <w:rPr>
                <w:rFonts w:ascii="楷体" w:hAnsi="楷体" w:eastAsia="楷体" w:cs="Times New Roman"/>
              </w:rPr>
              <w:t>数据审核人：</w:t>
            </w:r>
          </w:p>
          <w:p>
            <w:pPr>
              <w:adjustRightInd w:val="0"/>
              <w:snapToGrid w:val="0"/>
              <w:spacing w:line="460" w:lineRule="exact"/>
              <w:ind w:right="1706" w:rightChars="711"/>
              <w:jc w:val="right"/>
              <w:rPr>
                <w:rFonts w:ascii="楷体" w:hAnsi="楷体" w:eastAsia="楷体" w:cs="Times New Roman"/>
              </w:rPr>
            </w:pPr>
            <w:r>
              <w:rPr>
                <w:rFonts w:hint="eastAsia" w:ascii="楷体" w:hAnsi="楷体" w:eastAsia="楷体" w:cs="Times New Roman"/>
              </w:rPr>
              <w:t>示范中心</w:t>
            </w:r>
            <w:r>
              <w:rPr>
                <w:rFonts w:ascii="楷体" w:hAnsi="楷体" w:eastAsia="楷体" w:cs="Times New Roman"/>
              </w:rPr>
              <w:t>主任：</w:t>
            </w:r>
          </w:p>
          <w:p>
            <w:pPr>
              <w:adjustRightInd w:val="0"/>
              <w:snapToGrid w:val="0"/>
              <w:spacing w:line="460" w:lineRule="exact"/>
              <w:ind w:right="1706" w:rightChars="711"/>
              <w:jc w:val="right"/>
              <w:rPr>
                <w:rFonts w:ascii="楷体" w:hAnsi="楷体" w:eastAsia="楷体" w:cs="Times New Roman"/>
              </w:rPr>
            </w:pPr>
            <w:r>
              <w:rPr>
                <w:rFonts w:ascii="楷体" w:hAnsi="楷体" w:eastAsia="楷体" w:cs="Times New Roman"/>
              </w:rPr>
              <w:t>（单位公章）</w:t>
            </w:r>
          </w:p>
          <w:p>
            <w:pPr>
              <w:adjustRightInd w:val="0"/>
              <w:snapToGrid w:val="0"/>
              <w:spacing w:line="460" w:lineRule="exact"/>
              <w:ind w:right="1706" w:rightChars="711"/>
              <w:jc w:val="right"/>
              <w:rPr>
                <w:rFonts w:ascii="楷体" w:hAnsi="楷体" w:eastAsia="楷体" w:cs="Times New Roman"/>
              </w:rPr>
            </w:pPr>
          </w:p>
          <w:p>
            <w:pPr>
              <w:adjustRightInd w:val="0"/>
              <w:snapToGrid w:val="0"/>
              <w:spacing w:line="460" w:lineRule="exact"/>
              <w:ind w:right="1706" w:rightChars="711"/>
              <w:jc w:val="right"/>
              <w:rPr>
                <w:rFonts w:ascii="楷体" w:hAnsi="楷体" w:eastAsia="楷体" w:cs="Times New Roman"/>
              </w:rPr>
            </w:pPr>
          </w:p>
          <w:p>
            <w:pPr>
              <w:adjustRightInd w:val="0"/>
              <w:snapToGrid w:val="0"/>
              <w:ind w:right="898" w:rightChars="374"/>
              <w:jc w:val="right"/>
              <w:rPr>
                <w:rFonts w:ascii="仿宋" w:hAnsi="仿宋" w:eastAsia="仿宋" w:cs="Times New Roman"/>
                <w:sz w:val="28"/>
                <w:szCs w:val="28"/>
              </w:rPr>
            </w:pPr>
            <w:r>
              <w:rPr>
                <w:rFonts w:ascii="楷体" w:hAnsi="楷体" w:eastAsia="楷体" w:cs="Times New Roman"/>
              </w:rPr>
              <w:t>年    月    日</w:t>
            </w:r>
          </w:p>
        </w:tc>
      </w:tr>
    </w:tbl>
    <w:p>
      <w:pPr>
        <w:adjustRightInd w:val="0"/>
        <w:snapToGrid w:val="0"/>
        <w:spacing w:before="163" w:beforeLines="50" w:after="163" w:afterLines="50"/>
        <w:ind w:firstLine="560" w:firstLineChars="200"/>
        <w:rPr>
          <w:rFonts w:ascii="黑体" w:hAnsi="黑体" w:eastAsia="黑体" w:cs="Times New Roman"/>
          <w:sz w:val="28"/>
          <w:szCs w:val="28"/>
        </w:rPr>
      </w:pPr>
      <w:r>
        <w:rPr>
          <w:rFonts w:hint="eastAsia" w:ascii="黑体" w:hAnsi="黑体" w:eastAsia="黑体" w:cs="Times New Roman"/>
          <w:sz w:val="28"/>
          <w:szCs w:val="28"/>
        </w:rPr>
        <w:t>（二）学校评估意见</w:t>
      </w:r>
    </w:p>
    <w:tbl>
      <w:tblPr>
        <w:tblStyle w:val="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2" w:hRule="atLeast"/>
        </w:trPr>
        <w:tc>
          <w:tcPr>
            <w:tcW w:w="5000" w:type="pct"/>
          </w:tcPr>
          <w:p>
            <w:pPr>
              <w:adjustRightInd w:val="0"/>
              <w:snapToGrid w:val="0"/>
              <w:spacing w:before="65" w:beforeLines="20"/>
              <w:ind w:firstLine="480" w:firstLineChars="200"/>
              <w:rPr>
                <w:rFonts w:ascii="楷体" w:hAnsi="楷体" w:eastAsia="楷体" w:cs="Times New Roman"/>
              </w:rPr>
            </w:pPr>
            <w:r>
              <w:rPr>
                <w:rFonts w:hint="eastAsia" w:ascii="楷体" w:hAnsi="楷体" w:eastAsia="楷体" w:cs="Times New Roman"/>
              </w:rPr>
              <w:t>所在学校</w:t>
            </w:r>
            <w:r>
              <w:rPr>
                <w:rFonts w:ascii="楷体" w:hAnsi="楷体" w:eastAsia="楷体" w:cs="Times New Roman"/>
              </w:rPr>
              <w:t>年度考核意见：</w:t>
            </w:r>
          </w:p>
          <w:p>
            <w:pPr>
              <w:adjustRightInd w:val="0"/>
              <w:snapToGrid w:val="0"/>
              <w:ind w:firstLine="480" w:firstLineChars="200"/>
              <w:rPr>
                <w:rFonts w:ascii="楷体" w:hAnsi="楷体" w:eastAsia="楷体" w:cs="Times New Roman"/>
              </w:rPr>
            </w:pPr>
            <w:r>
              <w:rPr>
                <w:rFonts w:ascii="楷体" w:hAnsi="楷体" w:eastAsia="楷体" w:cs="Times New Roman"/>
              </w:rPr>
              <w:t>（需明确是否通过本年度考核，并</w:t>
            </w:r>
            <w:r>
              <w:rPr>
                <w:rFonts w:hint="eastAsia" w:ascii="楷体" w:hAnsi="楷体" w:eastAsia="楷体" w:cs="Times New Roman"/>
              </w:rPr>
              <w:t>明确</w:t>
            </w:r>
            <w:r>
              <w:rPr>
                <w:rFonts w:ascii="楷体" w:hAnsi="楷体" w:eastAsia="楷体" w:cs="Times New Roman"/>
              </w:rPr>
              <w:t>下一步对</w:t>
            </w:r>
            <w:r>
              <w:rPr>
                <w:rFonts w:hint="eastAsia" w:ascii="楷体" w:hAnsi="楷体" w:eastAsia="楷体" w:cs="Times New Roman"/>
              </w:rPr>
              <w:t>示范中心</w:t>
            </w:r>
            <w:r>
              <w:rPr>
                <w:rFonts w:ascii="楷体" w:hAnsi="楷体" w:eastAsia="楷体" w:cs="Times New Roman"/>
              </w:rPr>
              <w:t>的支持。）</w:t>
            </w:r>
          </w:p>
          <w:p>
            <w:pPr>
              <w:adjustRightInd w:val="0"/>
              <w:snapToGrid w:val="0"/>
              <w:rPr>
                <w:rFonts w:ascii="楷体" w:hAnsi="楷体" w:eastAsia="楷体" w:cs="Times New Roman"/>
              </w:rPr>
            </w:pPr>
          </w:p>
          <w:p>
            <w:pPr>
              <w:adjustRightInd w:val="0"/>
              <w:snapToGrid w:val="0"/>
              <w:ind w:firstLine="480" w:firstLineChars="200"/>
              <w:rPr>
                <w:rFonts w:ascii="楷体" w:hAnsi="楷体" w:eastAsia="楷体" w:cs="Times New Roman"/>
              </w:rPr>
            </w:pPr>
            <w:r>
              <w:rPr>
                <w:rFonts w:hint="eastAsia" w:ascii="楷体" w:hAnsi="楷体" w:eastAsia="楷体" w:cs="Times New Roman"/>
                <w:lang w:eastAsia="zh-CN"/>
              </w:rPr>
              <w:t>通过考核，下一步学校将根据“十四五”发展规划，加强示范中心的管理，在政策、经费等各方面给予支持。</w:t>
            </w: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rPr>
                <w:rFonts w:ascii="楷体" w:hAnsi="楷体" w:eastAsia="楷体" w:cs="Times New Roman"/>
              </w:rPr>
            </w:pPr>
          </w:p>
          <w:p>
            <w:pPr>
              <w:adjustRightInd w:val="0"/>
              <w:snapToGrid w:val="0"/>
              <w:spacing w:line="500" w:lineRule="exact"/>
              <w:ind w:right="1706" w:rightChars="711"/>
              <w:jc w:val="right"/>
              <w:rPr>
                <w:rFonts w:ascii="楷体" w:hAnsi="楷体" w:eastAsia="楷体" w:cs="Times New Roman"/>
              </w:rPr>
            </w:pPr>
            <w:r>
              <w:rPr>
                <w:rFonts w:hint="eastAsia" w:ascii="楷体" w:hAnsi="楷体" w:eastAsia="楷体" w:cs="Times New Roman"/>
              </w:rPr>
              <w:t>所在学校</w:t>
            </w:r>
            <w:r>
              <w:rPr>
                <w:rFonts w:ascii="楷体" w:hAnsi="楷体" w:eastAsia="楷体" w:cs="Times New Roman"/>
              </w:rPr>
              <w:t>负责人签字：</w:t>
            </w:r>
          </w:p>
          <w:p>
            <w:pPr>
              <w:adjustRightInd w:val="0"/>
              <w:snapToGrid w:val="0"/>
              <w:spacing w:line="500" w:lineRule="exact"/>
              <w:ind w:right="1706" w:rightChars="711"/>
              <w:jc w:val="right"/>
              <w:rPr>
                <w:rFonts w:ascii="楷体" w:hAnsi="楷体" w:eastAsia="楷体" w:cs="Times New Roman"/>
              </w:rPr>
            </w:pPr>
            <w:r>
              <w:rPr>
                <w:rFonts w:ascii="楷体" w:hAnsi="楷体" w:eastAsia="楷体" w:cs="Times New Roman"/>
              </w:rPr>
              <w:t>（单位公章）</w:t>
            </w:r>
          </w:p>
          <w:p>
            <w:pPr>
              <w:adjustRightInd w:val="0"/>
              <w:snapToGrid w:val="0"/>
              <w:spacing w:line="500" w:lineRule="exact"/>
              <w:ind w:right="1706" w:rightChars="711"/>
              <w:jc w:val="both"/>
              <w:rPr>
                <w:rFonts w:ascii="楷体" w:hAnsi="楷体" w:eastAsia="楷体" w:cs="Times New Roman"/>
              </w:rPr>
            </w:pPr>
          </w:p>
          <w:p>
            <w:pPr>
              <w:adjustRightInd w:val="0"/>
              <w:snapToGrid w:val="0"/>
              <w:ind w:right="898" w:rightChars="374"/>
              <w:jc w:val="right"/>
              <w:rPr>
                <w:rFonts w:ascii="仿宋" w:hAnsi="仿宋" w:eastAsia="仿宋" w:cs="Times New Roman"/>
                <w:sz w:val="28"/>
                <w:szCs w:val="28"/>
              </w:rPr>
            </w:pPr>
            <w:r>
              <w:rPr>
                <w:rFonts w:ascii="楷体" w:hAnsi="楷体" w:eastAsia="楷体" w:cs="Times New Roman"/>
              </w:rPr>
              <w:t>年    月    日</w:t>
            </w:r>
          </w:p>
        </w:tc>
      </w:tr>
    </w:tbl>
    <w:p>
      <w:pPr>
        <w:adjustRightInd w:val="0"/>
        <w:snapToGrid w:val="0"/>
        <w:spacing w:before="163" w:beforeLines="50"/>
        <w:rPr>
          <w:rFonts w:ascii="楷体" w:hAnsi="楷体" w:eastAsia="楷体" w:cs="Times New Roman"/>
        </w:rPr>
      </w:pPr>
    </w:p>
    <w:sectPr>
      <w:footerReference r:id="rId3" w:type="default"/>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等线">
    <w:altName w:val="宋体"/>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pPr>
          <w:pStyle w:val="4"/>
          <w:jc w:val="center"/>
        </w:pPr>
        <w:r>
          <w:fldChar w:fldCharType="begin"/>
        </w:r>
        <w:r>
          <w:instrText xml:space="preserve">PAGE   \* MERGEFORMAT</w:instrText>
        </w:r>
        <w:r>
          <w:fldChar w:fldCharType="separate"/>
        </w:r>
        <w:r>
          <w:rPr>
            <w:lang w:val="zh-CN"/>
          </w:rPr>
          <w:t>17</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8B64C0"/>
    <w:multiLevelType w:val="multilevel"/>
    <w:tmpl w:val="358B64C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DD057CA"/>
    <w:multiLevelType w:val="multilevel"/>
    <w:tmpl w:val="4DD057C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8FDF5C6"/>
    <w:multiLevelType w:val="singleLevel"/>
    <w:tmpl w:val="58FDF5C6"/>
    <w:lvl w:ilvl="0" w:tentative="0">
      <w:start w:val="1"/>
      <w:numFmt w:val="decimal"/>
      <w:suff w:val="nothing"/>
      <w:lvlText w:val="%1."/>
      <w:lvlJc w:val="left"/>
    </w:lvl>
  </w:abstractNum>
  <w:abstractNum w:abstractNumId="3">
    <w:nsid w:val="58FF3211"/>
    <w:multiLevelType w:val="singleLevel"/>
    <w:tmpl w:val="58FF3211"/>
    <w:lvl w:ilvl="0" w:tentative="0">
      <w:start w:val="1"/>
      <w:numFmt w:val="decimal"/>
      <w:suff w:val="nothing"/>
      <w:lvlText w:val="%1."/>
      <w:lvlJc w:val="left"/>
    </w:lvl>
  </w:abstractNum>
  <w:abstractNum w:abstractNumId="4">
    <w:nsid w:val="59B00BC5"/>
    <w:multiLevelType w:val="multilevel"/>
    <w:tmpl w:val="59B00BC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E4F4A24"/>
    <w:multiLevelType w:val="multilevel"/>
    <w:tmpl w:val="5E4F4A2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llODRhMWRhNGFkN2JhMDlmYzcwYWQzZGQ0ZWRjOTIifQ=="/>
  </w:docVars>
  <w:rsids>
    <w:rsidRoot w:val="00731006"/>
    <w:rsid w:val="000237CF"/>
    <w:rsid w:val="00023E8A"/>
    <w:rsid w:val="00024A5A"/>
    <w:rsid w:val="00025046"/>
    <w:rsid w:val="000579E9"/>
    <w:rsid w:val="00062423"/>
    <w:rsid w:val="00063DCF"/>
    <w:rsid w:val="00070B2B"/>
    <w:rsid w:val="000725DB"/>
    <w:rsid w:val="000768A2"/>
    <w:rsid w:val="00076930"/>
    <w:rsid w:val="0008315D"/>
    <w:rsid w:val="0008617C"/>
    <w:rsid w:val="0009568B"/>
    <w:rsid w:val="000A4743"/>
    <w:rsid w:val="000B45BC"/>
    <w:rsid w:val="000B51A7"/>
    <w:rsid w:val="000B59D0"/>
    <w:rsid w:val="000C5B6D"/>
    <w:rsid w:val="000D09B3"/>
    <w:rsid w:val="000D2465"/>
    <w:rsid w:val="000D5A11"/>
    <w:rsid w:val="000E4090"/>
    <w:rsid w:val="000E4908"/>
    <w:rsid w:val="000E55E8"/>
    <w:rsid w:val="000F35BC"/>
    <w:rsid w:val="000F4A1B"/>
    <w:rsid w:val="001101CA"/>
    <w:rsid w:val="00117856"/>
    <w:rsid w:val="00121F8E"/>
    <w:rsid w:val="00126CD4"/>
    <w:rsid w:val="00130229"/>
    <w:rsid w:val="00146583"/>
    <w:rsid w:val="0014679E"/>
    <w:rsid w:val="00152120"/>
    <w:rsid w:val="001522DA"/>
    <w:rsid w:val="00153C5C"/>
    <w:rsid w:val="00156748"/>
    <w:rsid w:val="00162B83"/>
    <w:rsid w:val="00164649"/>
    <w:rsid w:val="00165AC5"/>
    <w:rsid w:val="00166908"/>
    <w:rsid w:val="00170314"/>
    <w:rsid w:val="0017231F"/>
    <w:rsid w:val="00184471"/>
    <w:rsid w:val="00185102"/>
    <w:rsid w:val="001922BC"/>
    <w:rsid w:val="00192565"/>
    <w:rsid w:val="001A6CFE"/>
    <w:rsid w:val="001A7174"/>
    <w:rsid w:val="001A7536"/>
    <w:rsid w:val="001C0F51"/>
    <w:rsid w:val="001C6152"/>
    <w:rsid w:val="001D4187"/>
    <w:rsid w:val="001D7BFB"/>
    <w:rsid w:val="001E0F43"/>
    <w:rsid w:val="001E1DCA"/>
    <w:rsid w:val="001F1A86"/>
    <w:rsid w:val="001F50D6"/>
    <w:rsid w:val="0020088A"/>
    <w:rsid w:val="00202D23"/>
    <w:rsid w:val="00216855"/>
    <w:rsid w:val="00220608"/>
    <w:rsid w:val="0024553C"/>
    <w:rsid w:val="00246D1F"/>
    <w:rsid w:val="00254F34"/>
    <w:rsid w:val="00254FD9"/>
    <w:rsid w:val="002570D2"/>
    <w:rsid w:val="0025739D"/>
    <w:rsid w:val="00260E32"/>
    <w:rsid w:val="00263513"/>
    <w:rsid w:val="002678E1"/>
    <w:rsid w:val="00271989"/>
    <w:rsid w:val="0027225C"/>
    <w:rsid w:val="00274636"/>
    <w:rsid w:val="00274DA3"/>
    <w:rsid w:val="002757B6"/>
    <w:rsid w:val="00277A91"/>
    <w:rsid w:val="00282CCE"/>
    <w:rsid w:val="002840F0"/>
    <w:rsid w:val="0029191A"/>
    <w:rsid w:val="0029464E"/>
    <w:rsid w:val="00297155"/>
    <w:rsid w:val="002A1CAF"/>
    <w:rsid w:val="002A406B"/>
    <w:rsid w:val="002B15FC"/>
    <w:rsid w:val="002B38AF"/>
    <w:rsid w:val="002C19C5"/>
    <w:rsid w:val="002C4624"/>
    <w:rsid w:val="002C4711"/>
    <w:rsid w:val="002C669C"/>
    <w:rsid w:val="002D6AE6"/>
    <w:rsid w:val="002D6D43"/>
    <w:rsid w:val="002E061F"/>
    <w:rsid w:val="002E5745"/>
    <w:rsid w:val="002E599B"/>
    <w:rsid w:val="002E6499"/>
    <w:rsid w:val="002E73BD"/>
    <w:rsid w:val="002F2309"/>
    <w:rsid w:val="002F2EE3"/>
    <w:rsid w:val="002F56DB"/>
    <w:rsid w:val="00316C05"/>
    <w:rsid w:val="00323277"/>
    <w:rsid w:val="00323600"/>
    <w:rsid w:val="00333029"/>
    <w:rsid w:val="00336410"/>
    <w:rsid w:val="00347437"/>
    <w:rsid w:val="003514F0"/>
    <w:rsid w:val="00353F1E"/>
    <w:rsid w:val="0035524B"/>
    <w:rsid w:val="00363241"/>
    <w:rsid w:val="003647CF"/>
    <w:rsid w:val="00367498"/>
    <w:rsid w:val="00370D3C"/>
    <w:rsid w:val="003713B8"/>
    <w:rsid w:val="00372A1A"/>
    <w:rsid w:val="00374785"/>
    <w:rsid w:val="00376E62"/>
    <w:rsid w:val="00383253"/>
    <w:rsid w:val="00391928"/>
    <w:rsid w:val="00394001"/>
    <w:rsid w:val="0039604A"/>
    <w:rsid w:val="003A23FF"/>
    <w:rsid w:val="003A4001"/>
    <w:rsid w:val="003A5411"/>
    <w:rsid w:val="003A7ACF"/>
    <w:rsid w:val="003B2796"/>
    <w:rsid w:val="003B7D0D"/>
    <w:rsid w:val="003C1E62"/>
    <w:rsid w:val="003C302D"/>
    <w:rsid w:val="003D0BEF"/>
    <w:rsid w:val="003D186E"/>
    <w:rsid w:val="003E063C"/>
    <w:rsid w:val="003F6D60"/>
    <w:rsid w:val="003F79FB"/>
    <w:rsid w:val="004028F8"/>
    <w:rsid w:val="004048AD"/>
    <w:rsid w:val="004142DA"/>
    <w:rsid w:val="00421285"/>
    <w:rsid w:val="0042301E"/>
    <w:rsid w:val="00432006"/>
    <w:rsid w:val="00432DF2"/>
    <w:rsid w:val="004340F6"/>
    <w:rsid w:val="00435AB8"/>
    <w:rsid w:val="00444BD2"/>
    <w:rsid w:val="00445B71"/>
    <w:rsid w:val="004537DC"/>
    <w:rsid w:val="004604EC"/>
    <w:rsid w:val="0046335C"/>
    <w:rsid w:val="00472155"/>
    <w:rsid w:val="00477101"/>
    <w:rsid w:val="00483C2B"/>
    <w:rsid w:val="004840F0"/>
    <w:rsid w:val="00485478"/>
    <w:rsid w:val="0049294E"/>
    <w:rsid w:val="00494B08"/>
    <w:rsid w:val="00494E57"/>
    <w:rsid w:val="004A2823"/>
    <w:rsid w:val="004A6ADA"/>
    <w:rsid w:val="004B1FF2"/>
    <w:rsid w:val="004B287B"/>
    <w:rsid w:val="004B77E6"/>
    <w:rsid w:val="004B7E75"/>
    <w:rsid w:val="004C1EC8"/>
    <w:rsid w:val="004C1F5E"/>
    <w:rsid w:val="004C314D"/>
    <w:rsid w:val="004C6832"/>
    <w:rsid w:val="004C7E05"/>
    <w:rsid w:val="004D1B24"/>
    <w:rsid w:val="004D2B81"/>
    <w:rsid w:val="004D2C3A"/>
    <w:rsid w:val="004D52FE"/>
    <w:rsid w:val="004D6101"/>
    <w:rsid w:val="004E0259"/>
    <w:rsid w:val="004E0460"/>
    <w:rsid w:val="004E6FB1"/>
    <w:rsid w:val="004E7ADD"/>
    <w:rsid w:val="004F1662"/>
    <w:rsid w:val="004F27AD"/>
    <w:rsid w:val="00500DA4"/>
    <w:rsid w:val="005010C6"/>
    <w:rsid w:val="005031D8"/>
    <w:rsid w:val="00504DC8"/>
    <w:rsid w:val="00516971"/>
    <w:rsid w:val="00517168"/>
    <w:rsid w:val="00525650"/>
    <w:rsid w:val="0053207C"/>
    <w:rsid w:val="005513FC"/>
    <w:rsid w:val="00551D04"/>
    <w:rsid w:val="00553DE3"/>
    <w:rsid w:val="00571B4B"/>
    <w:rsid w:val="005746B2"/>
    <w:rsid w:val="00587386"/>
    <w:rsid w:val="005938FB"/>
    <w:rsid w:val="00596292"/>
    <w:rsid w:val="005A09D0"/>
    <w:rsid w:val="005A14CE"/>
    <w:rsid w:val="005A68B7"/>
    <w:rsid w:val="005C5755"/>
    <w:rsid w:val="005D0736"/>
    <w:rsid w:val="005D1F91"/>
    <w:rsid w:val="005E1CB7"/>
    <w:rsid w:val="005F1CCC"/>
    <w:rsid w:val="00601158"/>
    <w:rsid w:val="0060402A"/>
    <w:rsid w:val="006048E9"/>
    <w:rsid w:val="00604B8F"/>
    <w:rsid w:val="00605640"/>
    <w:rsid w:val="00613227"/>
    <w:rsid w:val="006167A0"/>
    <w:rsid w:val="00621D37"/>
    <w:rsid w:val="00621F62"/>
    <w:rsid w:val="00631108"/>
    <w:rsid w:val="00635DCE"/>
    <w:rsid w:val="00641F1A"/>
    <w:rsid w:val="00642B96"/>
    <w:rsid w:val="00643DFA"/>
    <w:rsid w:val="00644F25"/>
    <w:rsid w:val="006500F7"/>
    <w:rsid w:val="00665CFE"/>
    <w:rsid w:val="00666CF3"/>
    <w:rsid w:val="00677121"/>
    <w:rsid w:val="00677419"/>
    <w:rsid w:val="00682C85"/>
    <w:rsid w:val="006833F8"/>
    <w:rsid w:val="0069224F"/>
    <w:rsid w:val="00696B85"/>
    <w:rsid w:val="006A16B6"/>
    <w:rsid w:val="006A4D13"/>
    <w:rsid w:val="006B24A6"/>
    <w:rsid w:val="006B252E"/>
    <w:rsid w:val="006B482D"/>
    <w:rsid w:val="006B7BFF"/>
    <w:rsid w:val="006D3EF6"/>
    <w:rsid w:val="006D4FA6"/>
    <w:rsid w:val="006E6BC1"/>
    <w:rsid w:val="006F37DF"/>
    <w:rsid w:val="006F597C"/>
    <w:rsid w:val="006F7D65"/>
    <w:rsid w:val="00700EC8"/>
    <w:rsid w:val="00714B7B"/>
    <w:rsid w:val="00731006"/>
    <w:rsid w:val="00732837"/>
    <w:rsid w:val="00740BDD"/>
    <w:rsid w:val="007421F8"/>
    <w:rsid w:val="00745240"/>
    <w:rsid w:val="00752599"/>
    <w:rsid w:val="007527C0"/>
    <w:rsid w:val="007556CC"/>
    <w:rsid w:val="00756B39"/>
    <w:rsid w:val="007641DB"/>
    <w:rsid w:val="00772CD8"/>
    <w:rsid w:val="00773249"/>
    <w:rsid w:val="0077495A"/>
    <w:rsid w:val="0078118A"/>
    <w:rsid w:val="0078207E"/>
    <w:rsid w:val="007921BC"/>
    <w:rsid w:val="007A130E"/>
    <w:rsid w:val="007A5585"/>
    <w:rsid w:val="007A5589"/>
    <w:rsid w:val="007A7F01"/>
    <w:rsid w:val="007B1657"/>
    <w:rsid w:val="007C07D3"/>
    <w:rsid w:val="007C36AA"/>
    <w:rsid w:val="007D7A59"/>
    <w:rsid w:val="007E0320"/>
    <w:rsid w:val="00810E6B"/>
    <w:rsid w:val="008112D4"/>
    <w:rsid w:val="00817FC2"/>
    <w:rsid w:val="00821622"/>
    <w:rsid w:val="0082304E"/>
    <w:rsid w:val="00835716"/>
    <w:rsid w:val="00836E97"/>
    <w:rsid w:val="00841015"/>
    <w:rsid w:val="008505F4"/>
    <w:rsid w:val="0085248C"/>
    <w:rsid w:val="0085403E"/>
    <w:rsid w:val="00862234"/>
    <w:rsid w:val="00864558"/>
    <w:rsid w:val="00873EAF"/>
    <w:rsid w:val="00880507"/>
    <w:rsid w:val="008825BD"/>
    <w:rsid w:val="008858E7"/>
    <w:rsid w:val="008948E1"/>
    <w:rsid w:val="0089546B"/>
    <w:rsid w:val="008A2496"/>
    <w:rsid w:val="008A4CCB"/>
    <w:rsid w:val="008A7690"/>
    <w:rsid w:val="008C00BE"/>
    <w:rsid w:val="008C673A"/>
    <w:rsid w:val="008D11D8"/>
    <w:rsid w:val="008D7917"/>
    <w:rsid w:val="008F179F"/>
    <w:rsid w:val="00901ED5"/>
    <w:rsid w:val="00902DE6"/>
    <w:rsid w:val="00904586"/>
    <w:rsid w:val="00910CC4"/>
    <w:rsid w:val="009133E0"/>
    <w:rsid w:val="00914CF8"/>
    <w:rsid w:val="00922B22"/>
    <w:rsid w:val="00923471"/>
    <w:rsid w:val="00923770"/>
    <w:rsid w:val="00931035"/>
    <w:rsid w:val="0093269E"/>
    <w:rsid w:val="0093363F"/>
    <w:rsid w:val="0095236A"/>
    <w:rsid w:val="009632E5"/>
    <w:rsid w:val="009649E5"/>
    <w:rsid w:val="00964FE2"/>
    <w:rsid w:val="00973BBB"/>
    <w:rsid w:val="00975BDF"/>
    <w:rsid w:val="00977337"/>
    <w:rsid w:val="00977BCB"/>
    <w:rsid w:val="00980753"/>
    <w:rsid w:val="009836C9"/>
    <w:rsid w:val="009841C7"/>
    <w:rsid w:val="00984DDA"/>
    <w:rsid w:val="00990B89"/>
    <w:rsid w:val="00993A69"/>
    <w:rsid w:val="0099415B"/>
    <w:rsid w:val="009A2EB9"/>
    <w:rsid w:val="009B02F2"/>
    <w:rsid w:val="009B20B2"/>
    <w:rsid w:val="009C7B85"/>
    <w:rsid w:val="009E27AB"/>
    <w:rsid w:val="009E46C5"/>
    <w:rsid w:val="009F2C4D"/>
    <w:rsid w:val="009F304D"/>
    <w:rsid w:val="009F788F"/>
    <w:rsid w:val="00A01A64"/>
    <w:rsid w:val="00A0478F"/>
    <w:rsid w:val="00A0607D"/>
    <w:rsid w:val="00A138D5"/>
    <w:rsid w:val="00A245E5"/>
    <w:rsid w:val="00A378FB"/>
    <w:rsid w:val="00A50DD0"/>
    <w:rsid w:val="00A52B23"/>
    <w:rsid w:val="00A61F66"/>
    <w:rsid w:val="00A66FDD"/>
    <w:rsid w:val="00A730C7"/>
    <w:rsid w:val="00A8512A"/>
    <w:rsid w:val="00A85CF5"/>
    <w:rsid w:val="00A85D7B"/>
    <w:rsid w:val="00A90C9B"/>
    <w:rsid w:val="00AA3FFB"/>
    <w:rsid w:val="00AA4410"/>
    <w:rsid w:val="00AA7370"/>
    <w:rsid w:val="00AA79EF"/>
    <w:rsid w:val="00AB204E"/>
    <w:rsid w:val="00AB27F1"/>
    <w:rsid w:val="00AB2B69"/>
    <w:rsid w:val="00AB2F92"/>
    <w:rsid w:val="00AB6412"/>
    <w:rsid w:val="00AC36AA"/>
    <w:rsid w:val="00AD02C2"/>
    <w:rsid w:val="00AD4D1C"/>
    <w:rsid w:val="00AE2101"/>
    <w:rsid w:val="00AE2D47"/>
    <w:rsid w:val="00B02BC2"/>
    <w:rsid w:val="00B07A60"/>
    <w:rsid w:val="00B162EA"/>
    <w:rsid w:val="00B2066B"/>
    <w:rsid w:val="00B23129"/>
    <w:rsid w:val="00B30DB9"/>
    <w:rsid w:val="00B34814"/>
    <w:rsid w:val="00B34ACC"/>
    <w:rsid w:val="00B40E37"/>
    <w:rsid w:val="00B424EA"/>
    <w:rsid w:val="00B44470"/>
    <w:rsid w:val="00B45C38"/>
    <w:rsid w:val="00B47E3D"/>
    <w:rsid w:val="00B54555"/>
    <w:rsid w:val="00B54BDC"/>
    <w:rsid w:val="00B54E1E"/>
    <w:rsid w:val="00B569F2"/>
    <w:rsid w:val="00B625FD"/>
    <w:rsid w:val="00B64222"/>
    <w:rsid w:val="00B6581C"/>
    <w:rsid w:val="00B65FBE"/>
    <w:rsid w:val="00B70F22"/>
    <w:rsid w:val="00B77E7D"/>
    <w:rsid w:val="00B82E10"/>
    <w:rsid w:val="00B83986"/>
    <w:rsid w:val="00B83EE0"/>
    <w:rsid w:val="00BA216D"/>
    <w:rsid w:val="00BA5581"/>
    <w:rsid w:val="00BA72DF"/>
    <w:rsid w:val="00BB37DC"/>
    <w:rsid w:val="00BC18DB"/>
    <w:rsid w:val="00BC1E56"/>
    <w:rsid w:val="00BC3997"/>
    <w:rsid w:val="00BC61F0"/>
    <w:rsid w:val="00BD5723"/>
    <w:rsid w:val="00BE0566"/>
    <w:rsid w:val="00BE3B4B"/>
    <w:rsid w:val="00BE60A0"/>
    <w:rsid w:val="00BF3B1E"/>
    <w:rsid w:val="00C05EEA"/>
    <w:rsid w:val="00C102E5"/>
    <w:rsid w:val="00C11AC5"/>
    <w:rsid w:val="00C12FCB"/>
    <w:rsid w:val="00C131D2"/>
    <w:rsid w:val="00C1723A"/>
    <w:rsid w:val="00C20CF1"/>
    <w:rsid w:val="00C21DD3"/>
    <w:rsid w:val="00C33C06"/>
    <w:rsid w:val="00C477D0"/>
    <w:rsid w:val="00C542BB"/>
    <w:rsid w:val="00C562BB"/>
    <w:rsid w:val="00C81A5E"/>
    <w:rsid w:val="00C82FED"/>
    <w:rsid w:val="00C86CF0"/>
    <w:rsid w:val="00C92499"/>
    <w:rsid w:val="00CA428B"/>
    <w:rsid w:val="00CA4A00"/>
    <w:rsid w:val="00CA4C5A"/>
    <w:rsid w:val="00CB2027"/>
    <w:rsid w:val="00CB414B"/>
    <w:rsid w:val="00CB6DDC"/>
    <w:rsid w:val="00CC19BF"/>
    <w:rsid w:val="00CC3AB1"/>
    <w:rsid w:val="00CC40A0"/>
    <w:rsid w:val="00CC6874"/>
    <w:rsid w:val="00CD1A59"/>
    <w:rsid w:val="00CD22C4"/>
    <w:rsid w:val="00CD2AFA"/>
    <w:rsid w:val="00CD375D"/>
    <w:rsid w:val="00CD5239"/>
    <w:rsid w:val="00CE122F"/>
    <w:rsid w:val="00CE2B91"/>
    <w:rsid w:val="00CF04C4"/>
    <w:rsid w:val="00CF5C0B"/>
    <w:rsid w:val="00D07814"/>
    <w:rsid w:val="00D104A7"/>
    <w:rsid w:val="00D15DBA"/>
    <w:rsid w:val="00D203DD"/>
    <w:rsid w:val="00D3217A"/>
    <w:rsid w:val="00D3725A"/>
    <w:rsid w:val="00D4103A"/>
    <w:rsid w:val="00D415CE"/>
    <w:rsid w:val="00D533D2"/>
    <w:rsid w:val="00D545D2"/>
    <w:rsid w:val="00D55332"/>
    <w:rsid w:val="00D5626B"/>
    <w:rsid w:val="00D63149"/>
    <w:rsid w:val="00D63FDA"/>
    <w:rsid w:val="00D641CC"/>
    <w:rsid w:val="00D64C79"/>
    <w:rsid w:val="00D75376"/>
    <w:rsid w:val="00D8254D"/>
    <w:rsid w:val="00D86262"/>
    <w:rsid w:val="00D8654B"/>
    <w:rsid w:val="00D93A35"/>
    <w:rsid w:val="00D9583B"/>
    <w:rsid w:val="00D95B17"/>
    <w:rsid w:val="00DA1982"/>
    <w:rsid w:val="00DC08C3"/>
    <w:rsid w:val="00DC5F2B"/>
    <w:rsid w:val="00DD099D"/>
    <w:rsid w:val="00DD22E4"/>
    <w:rsid w:val="00DD27BF"/>
    <w:rsid w:val="00DD2FB8"/>
    <w:rsid w:val="00DD3006"/>
    <w:rsid w:val="00DD359B"/>
    <w:rsid w:val="00DD3CDA"/>
    <w:rsid w:val="00DE24E4"/>
    <w:rsid w:val="00DE592A"/>
    <w:rsid w:val="00E00885"/>
    <w:rsid w:val="00E04423"/>
    <w:rsid w:val="00E10CEE"/>
    <w:rsid w:val="00E16FE1"/>
    <w:rsid w:val="00E1748A"/>
    <w:rsid w:val="00E216B7"/>
    <w:rsid w:val="00E24571"/>
    <w:rsid w:val="00E25722"/>
    <w:rsid w:val="00E268FB"/>
    <w:rsid w:val="00E26B1D"/>
    <w:rsid w:val="00E27CCF"/>
    <w:rsid w:val="00E3033A"/>
    <w:rsid w:val="00E329F5"/>
    <w:rsid w:val="00E3383E"/>
    <w:rsid w:val="00E33991"/>
    <w:rsid w:val="00E340A1"/>
    <w:rsid w:val="00E34851"/>
    <w:rsid w:val="00E37A7A"/>
    <w:rsid w:val="00E431B5"/>
    <w:rsid w:val="00E4458B"/>
    <w:rsid w:val="00E44EA2"/>
    <w:rsid w:val="00E5225F"/>
    <w:rsid w:val="00E526E8"/>
    <w:rsid w:val="00E8269C"/>
    <w:rsid w:val="00E84E09"/>
    <w:rsid w:val="00E85D1F"/>
    <w:rsid w:val="00E9562D"/>
    <w:rsid w:val="00E97636"/>
    <w:rsid w:val="00EA3AF7"/>
    <w:rsid w:val="00EA637E"/>
    <w:rsid w:val="00EB5165"/>
    <w:rsid w:val="00EB717E"/>
    <w:rsid w:val="00EC1837"/>
    <w:rsid w:val="00ED04D5"/>
    <w:rsid w:val="00ED2FB5"/>
    <w:rsid w:val="00EE0B70"/>
    <w:rsid w:val="00EF1A3E"/>
    <w:rsid w:val="00F05DDA"/>
    <w:rsid w:val="00F06A1B"/>
    <w:rsid w:val="00F11BDD"/>
    <w:rsid w:val="00F162F8"/>
    <w:rsid w:val="00F17508"/>
    <w:rsid w:val="00F367D6"/>
    <w:rsid w:val="00F53442"/>
    <w:rsid w:val="00F53924"/>
    <w:rsid w:val="00F60010"/>
    <w:rsid w:val="00F66996"/>
    <w:rsid w:val="00F71EA0"/>
    <w:rsid w:val="00F84399"/>
    <w:rsid w:val="00F9467E"/>
    <w:rsid w:val="00FA2EB2"/>
    <w:rsid w:val="00FB3D68"/>
    <w:rsid w:val="00FB5EDE"/>
    <w:rsid w:val="00FC6286"/>
    <w:rsid w:val="00FE046A"/>
    <w:rsid w:val="00FE0D7A"/>
    <w:rsid w:val="00FE5169"/>
    <w:rsid w:val="00FE5F31"/>
    <w:rsid w:val="00FE6570"/>
    <w:rsid w:val="027E410F"/>
    <w:rsid w:val="02AC11B7"/>
    <w:rsid w:val="1B8B16C6"/>
    <w:rsid w:val="1ED728FA"/>
    <w:rsid w:val="1FF765F9"/>
    <w:rsid w:val="286F2FA1"/>
    <w:rsid w:val="2C012964"/>
    <w:rsid w:val="2EEF6BEA"/>
    <w:rsid w:val="30DA5DD1"/>
    <w:rsid w:val="33A9759C"/>
    <w:rsid w:val="36981915"/>
    <w:rsid w:val="3B080B28"/>
    <w:rsid w:val="50297660"/>
    <w:rsid w:val="52835E25"/>
    <w:rsid w:val="59FE51CE"/>
    <w:rsid w:val="5B9D6319"/>
    <w:rsid w:val="62BC14D0"/>
    <w:rsid w:val="69076303"/>
    <w:rsid w:val="6CD34129"/>
    <w:rsid w:val="6EFA253F"/>
    <w:rsid w:val="71E43790"/>
    <w:rsid w:val="76B13D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rPr>
  </w:style>
  <w:style w:type="table" w:styleId="8">
    <w:name w:val="Table Grid"/>
    <w:basedOn w:val="7"/>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semiHidden/>
    <w:unhideWhenUsed/>
    <w:qFormat/>
    <w:uiPriority w:val="99"/>
    <w:rPr>
      <w:color w:val="954F72" w:themeColor="followedHyperlink"/>
      <w:u w:val="single"/>
    </w:rPr>
  </w:style>
  <w:style w:type="character" w:styleId="12">
    <w:name w:val="Hyperlink"/>
    <w:basedOn w:val="9"/>
    <w:qFormat/>
    <w:uiPriority w:val="99"/>
    <w:rPr>
      <w:color w:val="0000FF"/>
      <w:u w:val="single"/>
    </w:rPr>
  </w:style>
  <w:style w:type="character" w:customStyle="1" w:styleId="13">
    <w:name w:val="标题 1 Char"/>
    <w:basedOn w:val="9"/>
    <w:link w:val="2"/>
    <w:qFormat/>
    <w:uiPriority w:val="9"/>
    <w:rPr>
      <w:rFonts w:ascii="Times New Roman" w:hAnsi="Times New Roman" w:cs="Times New Roman"/>
      <w:b/>
      <w:bCs/>
      <w:kern w:val="36"/>
      <w:sz w:val="48"/>
      <w:szCs w:val="48"/>
    </w:rPr>
  </w:style>
  <w:style w:type="character" w:customStyle="1" w:styleId="14">
    <w:name w:val="批注框文本 Char"/>
    <w:basedOn w:val="9"/>
    <w:link w:val="3"/>
    <w:semiHidden/>
    <w:qFormat/>
    <w:uiPriority w:val="99"/>
    <w:rPr>
      <w:kern w:val="2"/>
      <w:sz w:val="18"/>
      <w:szCs w:val="18"/>
    </w:rPr>
  </w:style>
  <w:style w:type="character" w:customStyle="1" w:styleId="15">
    <w:name w:val="页脚 Char"/>
    <w:basedOn w:val="9"/>
    <w:link w:val="4"/>
    <w:qFormat/>
    <w:uiPriority w:val="99"/>
    <w:rPr>
      <w:sz w:val="18"/>
      <w:szCs w:val="18"/>
    </w:rPr>
  </w:style>
  <w:style w:type="character" w:customStyle="1" w:styleId="16">
    <w:name w:val="页眉 Char"/>
    <w:basedOn w:val="9"/>
    <w:link w:val="5"/>
    <w:qFormat/>
    <w:uiPriority w:val="99"/>
    <w:rPr>
      <w:sz w:val="18"/>
      <w:szCs w:val="18"/>
    </w:rPr>
  </w:style>
  <w:style w:type="paragraph" w:customStyle="1" w:styleId="17">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5927D-B0A8-4F9D-AB50-7B0DA5571F0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37</Pages>
  <Words>16174</Words>
  <Characters>24415</Characters>
  <Lines>205</Lines>
  <Paragraphs>57</Paragraphs>
  <TotalTime>1</TotalTime>
  <ScaleCrop>false</ScaleCrop>
  <LinksUpToDate>false</LinksUpToDate>
  <CharactersWithSpaces>25325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2019-12-12T09:11:00Z</dcterms:created>
  <dc:creator>hao tong</dc:creator>
  <cp:lastModifiedBy>郑雯</cp:lastModifiedBy>
  <cp:lastPrinted>2023-06-15T07:12:00Z</cp:lastPrinted>
  <dcterms:modified xsi:type="dcterms:W3CDTF">2023-06-23T08:28:29Z</dcterms:modified>
  <cp:revision>345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14EDC993011045FFAD33710A44855C07_12</vt:lpwstr>
  </property>
</Properties>
</file>