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A8809">
      <w:pPr>
        <w:keepNext w:val="0"/>
        <w:keepLines w:val="0"/>
        <w:pageBreakBefore w:val="0"/>
        <w:wordWrap/>
        <w:overflowPunct/>
        <w:topLinePunct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2025年基层就业学费补偿和国家助学</w:t>
      </w:r>
    </w:p>
    <w:p w14:paraId="7CD39BC6">
      <w:pPr>
        <w:keepNext w:val="0"/>
        <w:keepLines w:val="0"/>
        <w:pageBreakBefore w:val="0"/>
        <w:wordWrap/>
        <w:overflowPunct/>
        <w:topLinePunct w:val="0"/>
        <w:bidi w:val="0"/>
        <w:adjustRightInd w:val="0"/>
        <w:snapToGrid w:val="0"/>
        <w:spacing w:line="560" w:lineRule="exact"/>
        <w:jc w:val="center"/>
        <w:textAlignment w:val="baseline"/>
        <w:rPr>
          <w:rFonts w:hint="eastAsia" w:ascii="方正小标宋简体" w:hAnsi="方正小标宋简体" w:eastAsia="方正小标宋简体" w:cs="方正小标宋简体"/>
          <w:b/>
          <w:bCs/>
          <w:spacing w:val="0"/>
          <w:sz w:val="44"/>
          <w:szCs w:val="44"/>
          <w:u w:val="none"/>
          <w:lang w:val="en-US" w:eastAsia="zh-CN"/>
        </w:rPr>
      </w:pPr>
      <w:r>
        <w:rPr>
          <w:rFonts w:hint="eastAsia" w:ascii="方正小标宋简体" w:hAnsi="方正小标宋简体" w:eastAsia="方正小标宋简体" w:cs="方正小标宋简体"/>
          <w:sz w:val="44"/>
          <w:szCs w:val="44"/>
          <w:lang w:val="en-US" w:eastAsia="zh-CN"/>
        </w:rPr>
        <w:t>贷款代偿材料审核要点</w:t>
      </w:r>
    </w:p>
    <w:p w14:paraId="6EB0BFC9">
      <w:pPr>
        <w:keepNext w:val="0"/>
        <w:keepLines w:val="0"/>
        <w:pageBreakBefore w:val="0"/>
        <w:wordWrap/>
        <w:overflowPunct/>
        <w:topLinePunct w:val="0"/>
        <w:bidi w:val="0"/>
        <w:adjustRightInd w:val="0"/>
        <w:snapToGrid w:val="0"/>
        <w:spacing w:before="373" w:line="560" w:lineRule="exact"/>
        <w:ind w:left="0" w:leftChars="0" w:firstLine="640" w:firstLineChars="200"/>
        <w:jc w:val="both"/>
        <w:textAlignment w:val="baseline"/>
        <w:rPr>
          <w:rFonts w:hint="eastAsia" w:ascii="黑体" w:hAnsi="黑体" w:eastAsia="黑体" w:cs="黑体"/>
          <w:snapToGrid/>
          <w:color w:val="auto"/>
          <w:spacing w:val="0"/>
          <w:kern w:val="2"/>
          <w:sz w:val="32"/>
          <w:szCs w:val="32"/>
          <w:u w:val="none"/>
          <w:lang w:val="en-US" w:eastAsia="zh-CN" w:bidi="ar-SA"/>
        </w:rPr>
      </w:pPr>
      <w:r>
        <w:rPr>
          <w:rFonts w:hint="eastAsia" w:ascii="黑体" w:hAnsi="黑体" w:eastAsia="黑体" w:cs="黑体"/>
          <w:snapToGrid/>
          <w:color w:val="auto"/>
          <w:spacing w:val="0"/>
          <w:kern w:val="2"/>
          <w:sz w:val="32"/>
          <w:szCs w:val="32"/>
          <w:lang w:val="en-US" w:eastAsia="zh-CN" w:bidi="ar-SA"/>
        </w:rPr>
        <w:t>一、</w:t>
      </w:r>
      <w:r>
        <w:rPr>
          <w:rFonts w:hint="eastAsia" w:ascii="黑体" w:hAnsi="黑体" w:eastAsia="黑体" w:cs="黑体"/>
          <w:snapToGrid/>
          <w:color w:val="auto"/>
          <w:spacing w:val="0"/>
          <w:kern w:val="2"/>
          <w:sz w:val="32"/>
          <w:szCs w:val="32"/>
          <w:u w:val="none"/>
          <w:lang w:val="en-US" w:eastAsia="zh-CN" w:bidi="ar-SA"/>
        </w:rPr>
        <w:t>就业身份审核</w:t>
      </w:r>
    </w:p>
    <w:p w14:paraId="311EA3FB">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baseline"/>
        <w:rPr>
          <w:rFonts w:hint="eastAsia" w:ascii="楷体_GB2312" w:hAnsi="楷体_GB2312" w:eastAsia="楷体_GB2312" w:cs="楷体_GB2312"/>
          <w:b/>
          <w:bCs/>
          <w:snapToGrid/>
          <w:spacing w:val="0"/>
          <w:kern w:val="2"/>
          <w:sz w:val="32"/>
          <w:szCs w:val="32"/>
          <w:u w:val="none"/>
          <w:lang w:val="en-US" w:eastAsia="zh-CN"/>
        </w:rPr>
      </w:pPr>
      <w:r>
        <w:rPr>
          <w:rFonts w:hint="eastAsia" w:ascii="楷体_GB2312" w:hAnsi="楷体_GB2312" w:eastAsia="楷体_GB2312" w:cs="楷体_GB2312"/>
          <w:b/>
          <w:bCs/>
          <w:snapToGrid/>
          <w:spacing w:val="0"/>
          <w:kern w:val="2"/>
          <w:sz w:val="32"/>
          <w:szCs w:val="32"/>
          <w:u w:val="none"/>
          <w:lang w:val="en-US" w:eastAsia="zh-CN"/>
        </w:rPr>
        <w:t>（一）2014年至2018年高校毕业生</w:t>
      </w:r>
    </w:p>
    <w:p w14:paraId="01D5F9B0">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eastAsia" w:ascii="仿宋_GB2312" w:hAnsi="仿宋_GB2312" w:eastAsia="仿宋_GB2312" w:cs="仿宋_GB2312"/>
          <w:snapToGrid/>
          <w:color w:val="auto"/>
          <w:spacing w:val="0"/>
          <w:kern w:val="2"/>
          <w:sz w:val="32"/>
          <w:szCs w:val="32"/>
          <w:u w:val="none"/>
          <w:lang w:val="en-US" w:eastAsia="zh-CN" w:bidi="ar-SA"/>
        </w:rPr>
      </w:pPr>
      <w:r>
        <w:rPr>
          <w:rFonts w:hint="eastAsia" w:ascii="仿宋_GB2312" w:hAnsi="仿宋_GB2312" w:eastAsia="仿宋_GB2312" w:cs="仿宋_GB2312"/>
          <w:snapToGrid/>
          <w:spacing w:val="0"/>
          <w:kern w:val="2"/>
          <w:sz w:val="32"/>
          <w:szCs w:val="32"/>
          <w:u w:val="none"/>
          <w:lang w:val="en-US" w:eastAsia="zh-CN"/>
        </w:rPr>
        <w:t>我省地方高校应届毕业的全日制本专科生（含高职、第二学士学位）、研究生，同时，还需要满足</w:t>
      </w:r>
      <w:r>
        <w:rPr>
          <w:rFonts w:hint="eastAsia" w:ascii="仿宋_GB2312" w:hAnsi="仿宋_GB2312" w:eastAsia="仿宋_GB2312" w:cs="仿宋_GB2312"/>
          <w:snapToGrid/>
          <w:spacing w:val="0"/>
          <w:kern w:val="2"/>
          <w:sz w:val="32"/>
          <w:szCs w:val="32"/>
          <w:highlight w:val="yellow"/>
          <w:u w:val="none"/>
          <w:lang w:val="en-US" w:eastAsia="zh-CN"/>
        </w:rPr>
        <w:t>学生毕业前享受低保</w:t>
      </w:r>
      <w:r>
        <w:rPr>
          <w:rFonts w:hint="eastAsia" w:ascii="仿宋_GB2312" w:hAnsi="仿宋_GB2312" w:eastAsia="仿宋_GB2312" w:cs="仿宋_GB2312"/>
          <w:snapToGrid/>
          <w:spacing w:val="0"/>
          <w:kern w:val="2"/>
          <w:sz w:val="32"/>
          <w:szCs w:val="32"/>
          <w:u w:val="none"/>
          <w:lang w:val="en-US" w:eastAsia="zh-CN"/>
        </w:rPr>
        <w:t>。学生毕业前低保被取消不符合申请条件，低保证（或低保证明）中应明确毕业生本人享受低保。定向、委培、公费师范生以及在校学习期间已享受免除学费政策的学生除外。</w:t>
      </w:r>
    </w:p>
    <w:p w14:paraId="134831E5">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baseline"/>
        <w:rPr>
          <w:rFonts w:hint="eastAsia" w:ascii="楷体_GB2312" w:hAnsi="楷体_GB2312" w:eastAsia="楷体_GB2312" w:cs="楷体_GB2312"/>
          <w:b/>
          <w:bCs/>
          <w:snapToGrid/>
          <w:color w:val="auto"/>
          <w:spacing w:val="0"/>
          <w:kern w:val="2"/>
          <w:sz w:val="32"/>
          <w:szCs w:val="32"/>
          <w:u w:val="none"/>
          <w:lang w:val="en-US" w:eastAsia="zh-CN"/>
        </w:rPr>
      </w:pPr>
      <w:r>
        <w:rPr>
          <w:rFonts w:hint="eastAsia" w:ascii="楷体_GB2312" w:hAnsi="楷体_GB2312" w:eastAsia="楷体_GB2312" w:cs="楷体_GB2312"/>
          <w:b/>
          <w:bCs/>
          <w:snapToGrid/>
          <w:color w:val="auto"/>
          <w:spacing w:val="0"/>
          <w:kern w:val="2"/>
          <w:sz w:val="32"/>
          <w:szCs w:val="32"/>
          <w:u w:val="none"/>
          <w:lang w:val="en-US" w:eastAsia="zh-CN"/>
        </w:rPr>
        <w:t>（二）2019年及其以后高校毕业生</w:t>
      </w:r>
    </w:p>
    <w:p w14:paraId="0134AD4A">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baseline"/>
        <w:rPr>
          <w:rFonts w:hint="eastAsia" w:ascii="仿宋_GB2312" w:hAnsi="仿宋_GB2312" w:eastAsia="仿宋_GB2312" w:cs="仿宋_GB2312"/>
          <w:snapToGrid/>
          <w:color w:val="auto"/>
          <w:spacing w:val="0"/>
          <w:kern w:val="2"/>
          <w:sz w:val="32"/>
          <w:szCs w:val="32"/>
          <w:u w:val="none"/>
          <w:lang w:val="en-US" w:eastAsia="zh-CN" w:bidi="ar-SA"/>
        </w:rPr>
      </w:pPr>
      <w:r>
        <w:rPr>
          <w:rFonts w:hint="eastAsia" w:ascii="仿宋_GB2312" w:hAnsi="仿宋_GB2312" w:eastAsia="仿宋_GB2312" w:cs="仿宋_GB2312"/>
          <w:b/>
          <w:bCs/>
          <w:snapToGrid/>
          <w:color w:val="auto"/>
          <w:spacing w:val="0"/>
          <w:kern w:val="2"/>
          <w:sz w:val="32"/>
          <w:szCs w:val="32"/>
          <w:u w:val="none"/>
          <w:lang w:val="en-US" w:eastAsia="zh-CN"/>
        </w:rPr>
        <w:t>1.非边境县基层单位就业，</w:t>
      </w:r>
      <w:r>
        <w:rPr>
          <w:rFonts w:hint="eastAsia" w:ascii="仿宋_GB2312" w:hAnsi="仿宋_GB2312" w:eastAsia="仿宋_GB2312" w:cs="仿宋_GB2312"/>
          <w:snapToGrid/>
          <w:spacing w:val="0"/>
          <w:kern w:val="2"/>
          <w:sz w:val="32"/>
          <w:szCs w:val="32"/>
          <w:u w:val="none"/>
          <w:lang w:val="en-US" w:eastAsia="zh-CN"/>
        </w:rPr>
        <w:t>我省地方高校应届</w:t>
      </w:r>
      <w:bookmarkStart w:id="0" w:name="_GoBack"/>
      <w:bookmarkEnd w:id="0"/>
      <w:r>
        <w:rPr>
          <w:rFonts w:hint="eastAsia" w:ascii="仿宋_GB2312" w:hAnsi="仿宋_GB2312" w:eastAsia="仿宋_GB2312" w:cs="仿宋_GB2312"/>
          <w:snapToGrid/>
          <w:spacing w:val="0"/>
          <w:kern w:val="2"/>
          <w:sz w:val="32"/>
          <w:szCs w:val="32"/>
          <w:u w:val="none"/>
          <w:lang w:val="en-US" w:eastAsia="zh-CN"/>
        </w:rPr>
        <w:t>毕业的全日制本专科生（含高职、第二学士学位）、研究生，同时，还需要满足学生毕业前享受低保。学生毕业前低保被取消不符合申请条件，低保证（或低保证明）中应明确毕业生本人享受低保。定向、委培、公费师范生以及在校学习期间已享受免除学费政策的学生除外。</w:t>
      </w:r>
    </w:p>
    <w:p w14:paraId="07839D9E">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baseline"/>
        <w:rPr>
          <w:rFonts w:hint="eastAsia" w:ascii="仿宋_GB2312" w:hAnsi="仿宋_GB2312" w:eastAsia="仿宋_GB2312" w:cs="仿宋_GB2312"/>
          <w:snapToGrid/>
          <w:spacing w:val="0"/>
          <w:kern w:val="2"/>
          <w:sz w:val="32"/>
          <w:szCs w:val="32"/>
          <w:u w:val="none"/>
          <w:lang w:val="en-US" w:eastAsia="zh-CN"/>
        </w:rPr>
      </w:pPr>
      <w:r>
        <w:rPr>
          <w:rFonts w:hint="eastAsia" w:ascii="仿宋_GB2312" w:hAnsi="仿宋_GB2312" w:eastAsia="仿宋_GB2312" w:cs="仿宋_GB2312"/>
          <w:b/>
          <w:bCs/>
          <w:snapToGrid/>
          <w:color w:val="auto"/>
          <w:spacing w:val="0"/>
          <w:kern w:val="2"/>
          <w:sz w:val="32"/>
          <w:szCs w:val="32"/>
          <w:u w:val="none"/>
          <w:lang w:val="en-US" w:eastAsia="zh-CN"/>
        </w:rPr>
        <w:t>2.边境县基层单位就业，</w:t>
      </w:r>
      <w:r>
        <w:rPr>
          <w:rFonts w:hint="eastAsia" w:ascii="仿宋_GB2312" w:hAnsi="仿宋_GB2312" w:eastAsia="仿宋_GB2312" w:cs="仿宋_GB2312"/>
          <w:snapToGrid/>
          <w:spacing w:val="0"/>
          <w:kern w:val="2"/>
          <w:sz w:val="32"/>
          <w:szCs w:val="32"/>
          <w:u w:val="none"/>
          <w:lang w:val="en-US" w:eastAsia="zh-CN"/>
        </w:rPr>
        <w:t>我省地方高校应届毕业的全日制本专科生（含高职、第二学士学位）、研究生。定向、委培、公费师范生以及在校学习期间已享受免除学费政策的学生除外。</w:t>
      </w:r>
    </w:p>
    <w:p w14:paraId="182357F0">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eastAsia" w:ascii="仿宋_GB2312" w:hAnsi="仿宋_GB2312" w:eastAsia="仿宋_GB2312" w:cs="仿宋_GB2312"/>
          <w:snapToGrid/>
          <w:spacing w:val="0"/>
          <w:kern w:val="2"/>
          <w:sz w:val="32"/>
          <w:szCs w:val="32"/>
          <w:u w:val="none"/>
          <w:lang w:val="en-US" w:eastAsia="zh-CN"/>
        </w:rPr>
      </w:pPr>
      <w:r>
        <w:rPr>
          <w:rFonts w:hint="eastAsia" w:ascii="仿宋_GB2312" w:hAnsi="仿宋_GB2312" w:eastAsia="仿宋_GB2312" w:cs="仿宋_GB2312"/>
          <w:snapToGrid/>
          <w:spacing w:val="0"/>
          <w:kern w:val="2"/>
          <w:sz w:val="32"/>
          <w:szCs w:val="32"/>
          <w:u w:val="none"/>
          <w:lang w:val="en-US" w:eastAsia="zh-CN"/>
        </w:rPr>
        <w:t>黑龙江省边境县（区）名单：穆棱市、东宁市、绥芬河市、同江市、抚远市、鸡东县、密山市、虎林市、萝北县、绥滨县、饶河县、逊克县、孙吴县、爱辉区、嘉荫县、呼玛县、塔河县、漠河市。</w:t>
      </w:r>
    </w:p>
    <w:p w14:paraId="15EC297D">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eastAsia" w:ascii="黑体" w:hAnsi="黑体" w:eastAsia="黑体" w:cs="黑体"/>
          <w:snapToGrid/>
          <w:spacing w:val="0"/>
          <w:kern w:val="2"/>
          <w:sz w:val="32"/>
          <w:szCs w:val="32"/>
          <w:u w:val="none"/>
          <w:lang w:val="en-US" w:eastAsia="zh-CN"/>
        </w:rPr>
      </w:pPr>
      <w:r>
        <w:rPr>
          <w:rFonts w:hint="eastAsia" w:ascii="黑体" w:hAnsi="黑体" w:eastAsia="黑体" w:cs="黑体"/>
          <w:snapToGrid/>
          <w:spacing w:val="0"/>
          <w:kern w:val="2"/>
          <w:sz w:val="32"/>
          <w:szCs w:val="32"/>
          <w:u w:val="none"/>
          <w:lang w:val="en-US" w:eastAsia="zh-CN"/>
        </w:rPr>
        <w:t>二、工作时间审核</w:t>
      </w:r>
    </w:p>
    <w:p w14:paraId="1B1EDC28">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right="0" w:rightChars="0"/>
        <w:jc w:val="both"/>
        <w:textAlignment w:val="baseline"/>
        <w:rPr>
          <w:rFonts w:hint="eastAsia" w:ascii="楷体_GB2312" w:hAnsi="楷体_GB2312" w:eastAsia="楷体_GB2312" w:cs="楷体_GB2312"/>
          <w:b/>
          <w:bCs/>
          <w:snapToGrid/>
          <w:spacing w:val="0"/>
          <w:kern w:val="2"/>
          <w:sz w:val="32"/>
          <w:szCs w:val="32"/>
          <w:u w:val="none"/>
          <w:lang w:val="en-US" w:eastAsia="zh-CN"/>
        </w:rPr>
      </w:pPr>
      <w:r>
        <w:rPr>
          <w:rFonts w:hint="eastAsia" w:ascii="楷体_GB2312" w:hAnsi="楷体_GB2312" w:eastAsia="楷体_GB2312" w:cs="楷体_GB2312"/>
          <w:b/>
          <w:bCs/>
          <w:snapToGrid/>
          <w:spacing w:val="0"/>
          <w:kern w:val="2"/>
          <w:sz w:val="32"/>
          <w:szCs w:val="32"/>
          <w:u w:val="none"/>
          <w:lang w:val="en-US" w:eastAsia="zh-CN"/>
        </w:rPr>
        <w:t>（一）就业时间</w:t>
      </w:r>
    </w:p>
    <w:p w14:paraId="701CB9CE">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eastAsia" w:ascii="仿宋_GB2312" w:hAnsi="仿宋_GB2312" w:eastAsia="仿宋_GB2312" w:cs="仿宋_GB2312"/>
          <w:snapToGrid/>
          <w:spacing w:val="0"/>
          <w:kern w:val="2"/>
          <w:sz w:val="32"/>
          <w:szCs w:val="32"/>
          <w:u w:val="none"/>
          <w:lang w:val="en-US" w:eastAsia="zh-CN"/>
        </w:rPr>
      </w:pPr>
      <w:r>
        <w:rPr>
          <w:rFonts w:hint="eastAsia" w:ascii="仿宋_GB2312" w:hAnsi="仿宋_GB2312" w:eastAsia="仿宋_GB2312" w:cs="仿宋_GB2312"/>
          <w:snapToGrid/>
          <w:spacing w:val="0"/>
          <w:kern w:val="2"/>
          <w:sz w:val="32"/>
          <w:szCs w:val="32"/>
          <w:u w:val="none"/>
          <w:lang w:val="en-US" w:eastAsia="zh-CN"/>
        </w:rPr>
        <w:t>按照《教育部关于应对新冠肺炎疫情做好2020届全国普通高等学校毕业生就业创业工作的通知》（教学〔2020〕2号）“对离校时未落实工作单位的高校毕业生，可按规定将户口、档案在学校保留两年，并为落实单位的毕业生按应届毕业生身份及时办理就业手续”要求，2020年毕业生于2022年6月30日前、2021年毕业生于2023年6月30日前与黑龙江省内基层单位办理就业手续（签订劳动合同、聘用合同或录用通知）并实际到岗就业的符合申请条件。其他年度毕业生于毕业次年6月30日前与黑龙江省内基层单位办理就业手续（签订劳动合同、聘用合同或录用通知）并实际到岗就业的符合申请条件。</w:t>
      </w:r>
    </w:p>
    <w:p w14:paraId="4A0F7EC3">
      <w:pPr>
        <w:pStyle w:val="3"/>
        <w:keepNext w:val="0"/>
        <w:keepLines w:val="0"/>
        <w:pageBreakBefore w:val="0"/>
        <w:wordWrap/>
        <w:overflowPunct/>
        <w:topLinePunct w:val="0"/>
        <w:bidi w:val="0"/>
        <w:adjustRightInd w:val="0"/>
        <w:snapToGrid w:val="0"/>
        <w:spacing w:line="560" w:lineRule="exact"/>
        <w:ind w:left="0" w:firstLine="655" w:firstLineChars="200"/>
        <w:textAlignment w:val="baseline"/>
        <w:outlineLvl w:val="2"/>
        <w:rPr>
          <w:rFonts w:hint="eastAsia" w:ascii="楷体_GB2312" w:hAnsi="楷体_GB2312" w:eastAsia="楷体_GB2312" w:cs="楷体_GB2312"/>
          <w:sz w:val="32"/>
          <w:szCs w:val="32"/>
        </w:rPr>
      </w:pPr>
      <w:r>
        <w:rPr>
          <w:rFonts w:hint="eastAsia" w:ascii="楷体_GB2312" w:hAnsi="楷体_GB2312" w:eastAsia="楷体_GB2312" w:cs="楷体_GB2312"/>
          <w:b/>
          <w:bCs/>
          <w:spacing w:val="3"/>
          <w:sz w:val="32"/>
          <w:szCs w:val="32"/>
          <w:lang w:eastAsia="zh-CN"/>
        </w:rPr>
        <w:t>（</w:t>
      </w:r>
      <w:r>
        <w:rPr>
          <w:rFonts w:hint="eastAsia" w:ascii="楷体_GB2312" w:hAnsi="楷体_GB2312" w:eastAsia="楷体_GB2312" w:cs="楷体_GB2312"/>
          <w:b/>
          <w:bCs/>
          <w:spacing w:val="3"/>
          <w:sz w:val="32"/>
          <w:szCs w:val="32"/>
          <w:lang w:val="en-US" w:eastAsia="zh-CN"/>
        </w:rPr>
        <w:t>二</w:t>
      </w:r>
      <w:r>
        <w:rPr>
          <w:rFonts w:hint="eastAsia" w:ascii="楷体_GB2312" w:hAnsi="楷体_GB2312" w:eastAsia="楷体_GB2312" w:cs="楷体_GB2312"/>
          <w:b/>
          <w:bCs/>
          <w:spacing w:val="3"/>
          <w:sz w:val="32"/>
          <w:szCs w:val="32"/>
          <w:lang w:eastAsia="zh-CN"/>
        </w:rPr>
        <w:t>）</w:t>
      </w:r>
      <w:r>
        <w:rPr>
          <w:rFonts w:hint="eastAsia" w:ascii="楷体_GB2312" w:hAnsi="楷体_GB2312" w:eastAsia="楷体_GB2312" w:cs="楷体_GB2312"/>
          <w:b/>
          <w:bCs/>
          <w:spacing w:val="3"/>
          <w:sz w:val="32"/>
          <w:szCs w:val="32"/>
        </w:rPr>
        <w:t>服务年限</w:t>
      </w:r>
    </w:p>
    <w:p w14:paraId="4E8F1CC8">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eastAsia" w:ascii="仿宋_GB2312" w:hAnsi="仿宋_GB2312" w:eastAsia="仿宋_GB2312" w:cs="仿宋_GB2312"/>
          <w:snapToGrid/>
          <w:spacing w:val="0"/>
          <w:kern w:val="2"/>
          <w:sz w:val="32"/>
          <w:szCs w:val="32"/>
          <w:u w:val="none"/>
          <w:lang w:val="en-US" w:eastAsia="zh-CN"/>
        </w:rPr>
      </w:pPr>
      <w:r>
        <w:rPr>
          <w:rFonts w:hint="eastAsia" w:ascii="仿宋_GB2312" w:hAnsi="仿宋_GB2312" w:eastAsia="仿宋_GB2312" w:cs="仿宋_GB2312"/>
          <w:snapToGrid/>
          <w:spacing w:val="0"/>
          <w:kern w:val="2"/>
          <w:sz w:val="32"/>
          <w:szCs w:val="32"/>
          <w:u w:val="none"/>
          <w:lang w:val="en-US" w:eastAsia="zh-CN"/>
        </w:rPr>
        <w:t>服务年限指在基层单位的服务年限。学生需在黑龙江省内基层单位连续工作达36个月以上（含36个月），且就业单位连续为其缴纳社会保险费的符合申请条件。存在工作变动，需要多段工作经历连续，并且工作变动后仍属于基层单位的符合申请条件，申报时应提供每一段工作经历的多份申请表和申请材料。因调动、提拔、工作需要换岗而提前离开基层单位，中止在基层单位就业或单位变动后不属基层单位的，不符合申请条件。</w:t>
      </w:r>
    </w:p>
    <w:p w14:paraId="4836F4F5">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eastAsia" w:ascii="黑体" w:hAnsi="黑体" w:eastAsia="黑体" w:cs="黑体"/>
          <w:spacing w:val="0"/>
          <w:sz w:val="32"/>
          <w:szCs w:val="32"/>
          <w:u w:val="none"/>
          <w:lang w:val="en-US" w:eastAsia="zh-CN"/>
        </w:rPr>
      </w:pPr>
      <w:r>
        <w:rPr>
          <w:rFonts w:hint="eastAsia" w:ascii="黑体" w:hAnsi="黑体" w:eastAsia="黑体" w:cs="黑体"/>
          <w:snapToGrid/>
          <w:spacing w:val="0"/>
          <w:kern w:val="2"/>
          <w:sz w:val="32"/>
          <w:szCs w:val="32"/>
          <w:u w:val="none"/>
          <w:lang w:val="en-US" w:eastAsia="zh-CN"/>
        </w:rPr>
        <w:t>三、工作地点审核</w:t>
      </w:r>
    </w:p>
    <w:p w14:paraId="77D8BA7B">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napToGrid/>
          <w:spacing w:val="0"/>
          <w:kern w:val="2"/>
          <w:sz w:val="32"/>
          <w:szCs w:val="32"/>
          <w:u w:val="none"/>
          <w:lang w:val="en-US" w:eastAsia="zh-CN"/>
        </w:rPr>
        <w:t>实际工作地点是指毕业生绝大多数时间的工作所在地，实际工作地点在县以下（不含县政府所在地）的乡（镇、街道）符合申请条件；实际工作地点位于黑龙江垦区内农场、林场的，符合工作地点要求。工作地点在县政府所在地的乡（镇、街道）不符合申请条件。实际工作地点具有以下特点：一是相对长期的，而不是因项目、出差、调研和帮扶等短期临时的工作地点；二是区别于工作管辖区域、服务范围；三是区别于就业单位的办公地址。实际工作地点按照国家行政区划确定，务必具体到乡（镇、街道）。 格式一般为 xx 省 xx 市 xx 县（区）xx 乡（镇、街道）xx 。</w:t>
      </w:r>
      <w:r>
        <w:rPr>
          <w:rFonts w:hint="eastAsia" w:ascii="仿宋_GB2312" w:hAnsi="仿宋_GB2312" w:eastAsia="仿宋_GB2312" w:cs="仿宋_GB2312"/>
          <w:spacing w:val="0"/>
          <w:sz w:val="32"/>
          <w:szCs w:val="32"/>
          <w:u w:val="none"/>
          <w:lang w:val="en-US" w:eastAsia="zh-CN"/>
        </w:rPr>
        <w:t xml:space="preserve"> </w:t>
      </w:r>
    </w:p>
    <w:p w14:paraId="1B6F3A23">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eastAsia" w:ascii="黑体" w:hAnsi="黑体" w:eastAsia="黑体" w:cs="黑体"/>
          <w:snapToGrid/>
          <w:color w:val="000000"/>
          <w:spacing w:val="0"/>
          <w:kern w:val="2"/>
          <w:sz w:val="32"/>
          <w:szCs w:val="32"/>
          <w:lang w:val="en-US" w:eastAsia="zh-CN" w:bidi="ar-SA"/>
        </w:rPr>
      </w:pPr>
      <w:r>
        <w:rPr>
          <w:rFonts w:hint="eastAsia" w:ascii="黑体" w:hAnsi="黑体" w:eastAsia="黑体" w:cs="黑体"/>
          <w:snapToGrid/>
          <w:color w:val="000000"/>
          <w:spacing w:val="0"/>
          <w:kern w:val="2"/>
          <w:sz w:val="32"/>
          <w:szCs w:val="32"/>
          <w:lang w:val="en-US" w:eastAsia="zh-CN" w:bidi="ar-SA"/>
        </w:rPr>
        <w:t>四、单位岗位审核</w:t>
      </w:r>
    </w:p>
    <w:p w14:paraId="6D4C13C8">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baseline"/>
        <w:rPr>
          <w:rFonts w:hint="eastAsia" w:ascii="楷体_GB2312" w:hAnsi="楷体_GB2312" w:eastAsia="楷体_GB2312" w:cs="楷体_GB2312"/>
          <w:b/>
          <w:bCs/>
          <w:snapToGrid/>
          <w:color w:val="000000"/>
          <w:spacing w:val="0"/>
          <w:kern w:val="2"/>
          <w:sz w:val="32"/>
          <w:szCs w:val="32"/>
          <w:lang w:val="en-US" w:eastAsia="zh-CN" w:bidi="ar-SA"/>
        </w:rPr>
      </w:pPr>
      <w:r>
        <w:rPr>
          <w:rFonts w:hint="eastAsia" w:ascii="楷体_GB2312" w:hAnsi="楷体_GB2312" w:eastAsia="楷体_GB2312" w:cs="楷体_GB2312"/>
          <w:b/>
          <w:bCs/>
          <w:snapToGrid/>
          <w:color w:val="000000"/>
          <w:spacing w:val="0"/>
          <w:kern w:val="2"/>
          <w:sz w:val="32"/>
          <w:szCs w:val="32"/>
          <w:lang w:val="en-US" w:eastAsia="zh-CN" w:bidi="ar-SA"/>
        </w:rPr>
        <w:t>（一）非艰苦行业</w:t>
      </w:r>
    </w:p>
    <w:p w14:paraId="176A21A7">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eastAsia" w:ascii="仿宋_GB2312" w:hAnsi="仿宋_GB2312" w:eastAsia="仿宋_GB2312" w:cs="仿宋_GB2312"/>
          <w:snapToGrid/>
          <w:spacing w:val="0"/>
          <w:kern w:val="2"/>
          <w:sz w:val="32"/>
          <w:szCs w:val="32"/>
          <w:u w:val="none"/>
          <w:lang w:val="en-US" w:eastAsia="zh-CN"/>
        </w:rPr>
      </w:pPr>
      <w:r>
        <w:rPr>
          <w:rFonts w:hint="eastAsia" w:ascii="仿宋_GB2312" w:hAnsi="仿宋_GB2312" w:eastAsia="仿宋_GB2312" w:cs="仿宋_GB2312"/>
          <w:snapToGrid/>
          <w:spacing w:val="0"/>
          <w:kern w:val="2"/>
          <w:sz w:val="32"/>
          <w:szCs w:val="32"/>
          <w:u w:val="none"/>
          <w:lang w:val="en-US" w:eastAsia="zh-CN"/>
        </w:rPr>
        <w:t>从事金融、通讯、烟酒（原材料种植工作除外）、飞机及列车乘务、房地产及其相关产业等工作的，属于非艰苦行业，不予批准。</w:t>
      </w:r>
    </w:p>
    <w:p w14:paraId="558DAB0F">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eastAsia" w:ascii="仿宋_GB2312" w:hAnsi="仿宋_GB2312" w:eastAsia="仿宋_GB2312" w:cs="仿宋_GB2312"/>
          <w:snapToGrid/>
          <w:spacing w:val="0"/>
          <w:kern w:val="2"/>
          <w:sz w:val="32"/>
          <w:szCs w:val="32"/>
          <w:u w:val="none"/>
          <w:lang w:val="en-US" w:eastAsia="zh-CN"/>
        </w:rPr>
      </w:pPr>
      <w:r>
        <w:rPr>
          <w:rFonts w:hint="eastAsia" w:ascii="仿宋_GB2312" w:hAnsi="仿宋_GB2312" w:eastAsia="仿宋_GB2312" w:cs="仿宋_GB2312"/>
          <w:snapToGrid/>
          <w:spacing w:val="0"/>
          <w:kern w:val="2"/>
          <w:sz w:val="32"/>
          <w:szCs w:val="32"/>
          <w:u w:val="none"/>
          <w:lang w:val="en-US" w:eastAsia="zh-CN"/>
        </w:rPr>
        <w:t>通讯行业主要包括移动、联通、电信等，非艰苦行业不包括航空或铁路运输中除飞机及列车乘务外的其他工作（如机场机械维修）、电力、石油、天然气、邮政等行业。</w:t>
      </w:r>
    </w:p>
    <w:p w14:paraId="7C63F2A7">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baseline"/>
        <w:rPr>
          <w:rFonts w:hint="eastAsia" w:ascii="楷体_GB2312" w:hAnsi="楷体_GB2312" w:eastAsia="楷体_GB2312" w:cs="楷体_GB2312"/>
          <w:b/>
          <w:bCs/>
          <w:snapToGrid/>
          <w:color w:val="000000"/>
          <w:spacing w:val="0"/>
          <w:kern w:val="2"/>
          <w:sz w:val="32"/>
          <w:szCs w:val="32"/>
          <w:lang w:val="en-US" w:eastAsia="zh-CN" w:bidi="ar-SA"/>
        </w:rPr>
      </w:pPr>
      <w:r>
        <w:rPr>
          <w:rFonts w:hint="eastAsia" w:ascii="楷体_GB2312" w:hAnsi="楷体_GB2312" w:eastAsia="楷体_GB2312" w:cs="楷体_GB2312"/>
          <w:b/>
          <w:bCs/>
          <w:snapToGrid/>
          <w:color w:val="000000"/>
          <w:spacing w:val="0"/>
          <w:kern w:val="2"/>
          <w:sz w:val="32"/>
          <w:szCs w:val="32"/>
          <w:lang w:val="en-US" w:eastAsia="zh-CN" w:bidi="ar-SA"/>
        </w:rPr>
        <w:t>（二）非县以下基层单位</w:t>
      </w:r>
    </w:p>
    <w:p w14:paraId="3400C2A8">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eastAsia" w:ascii="仿宋_GB2312" w:hAnsi="仿宋_GB2312" w:eastAsia="仿宋_GB2312" w:cs="仿宋_GB2312"/>
          <w:snapToGrid/>
          <w:spacing w:val="0"/>
          <w:kern w:val="2"/>
          <w:sz w:val="32"/>
          <w:szCs w:val="32"/>
          <w:u w:val="none"/>
          <w:lang w:val="en-US" w:eastAsia="zh-CN"/>
        </w:rPr>
      </w:pPr>
      <w:r>
        <w:rPr>
          <w:rFonts w:hint="eastAsia" w:ascii="仿宋_GB2312" w:hAnsi="仿宋_GB2312" w:eastAsia="仿宋_GB2312" w:cs="仿宋_GB2312"/>
          <w:snapToGrid/>
          <w:spacing w:val="0"/>
          <w:kern w:val="2"/>
          <w:sz w:val="32"/>
          <w:szCs w:val="32"/>
          <w:u w:val="none"/>
          <w:lang w:val="en-US" w:eastAsia="zh-CN"/>
        </w:rPr>
        <w:t>县级以上（含县级）各局（委员会、办公室）、高等学校、公安机关支队级以上（含支队级）等不属于基层单位，不予批准。</w:t>
      </w:r>
    </w:p>
    <w:p w14:paraId="34687413">
      <w:pPr>
        <w:keepNext w:val="0"/>
        <w:keepLines w:val="0"/>
        <w:pageBreakBefore w:val="0"/>
        <w:wordWrap/>
        <w:overflowPunct/>
        <w:topLinePunct w:val="0"/>
        <w:bidi w:val="0"/>
        <w:adjustRightInd w:val="0"/>
        <w:snapToGrid w:val="0"/>
        <w:spacing w:line="240" w:lineRule="auto"/>
        <w:ind w:firstLine="640" w:firstLineChars="200"/>
        <w:textAlignment w:val="baseline"/>
        <w:rPr>
          <w:rFonts w:hint="eastAsia" w:ascii="黑体" w:hAnsi="黑体" w:eastAsia="黑体" w:cs="黑体"/>
          <w:sz w:val="32"/>
          <w:szCs w:val="32"/>
        </w:rPr>
      </w:pPr>
      <w:r>
        <w:rPr>
          <w:rFonts w:hint="eastAsia" w:ascii="黑体" w:hAnsi="黑体" w:eastAsia="黑体" w:cs="黑体"/>
          <w:snapToGrid/>
          <w:color w:val="000000"/>
          <w:spacing w:val="0"/>
          <w:kern w:val="2"/>
          <w:sz w:val="32"/>
          <w:szCs w:val="32"/>
          <w:lang w:val="en-US" w:eastAsia="zh-CN" w:bidi="ar-SA"/>
        </w:rPr>
        <w:t>四、</w:t>
      </w:r>
      <w:r>
        <w:rPr>
          <w:rFonts w:hint="eastAsia" w:ascii="黑体" w:hAnsi="黑体" w:eastAsia="黑体" w:cs="黑体"/>
          <w:spacing w:val="7"/>
          <w:sz w:val="32"/>
          <w:szCs w:val="32"/>
        </w:rPr>
        <w:t>补偿代偿标准</w:t>
      </w:r>
    </w:p>
    <w:p w14:paraId="75E10705">
      <w:pPr>
        <w:keepNext w:val="0"/>
        <w:keepLines w:val="0"/>
        <w:pageBreakBefore w:val="0"/>
        <w:wordWrap/>
        <w:overflowPunct/>
        <w:topLinePunct w:val="0"/>
        <w:bidi w:val="0"/>
        <w:adjustRightInd w:val="0"/>
        <w:snapToGrid w:val="0"/>
        <w:spacing w:line="560" w:lineRule="exact"/>
        <w:ind w:left="0" w:firstLine="659" w:firstLineChars="200"/>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b/>
          <w:bCs/>
          <w:spacing w:val="4"/>
          <w:sz w:val="32"/>
          <w:szCs w:val="32"/>
        </w:rPr>
        <w:t>（一）补偿代偿的教育阶段</w:t>
      </w:r>
    </w:p>
    <w:p w14:paraId="394600A9">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eastAsia" w:ascii="仿宋_GB2312" w:hAnsi="仿宋_GB2312" w:eastAsia="仿宋_GB2312" w:cs="仿宋_GB2312"/>
          <w:snapToGrid/>
          <w:spacing w:val="0"/>
          <w:kern w:val="2"/>
          <w:sz w:val="32"/>
          <w:szCs w:val="32"/>
          <w:u w:val="none"/>
          <w:lang w:val="en-US" w:eastAsia="zh-CN"/>
        </w:rPr>
      </w:pPr>
      <w:r>
        <w:rPr>
          <w:rFonts w:hint="eastAsia" w:ascii="仿宋_GB2312" w:hAnsi="仿宋_GB2312" w:eastAsia="仿宋_GB2312" w:cs="仿宋_GB2312"/>
          <w:snapToGrid/>
          <w:spacing w:val="0"/>
          <w:kern w:val="2"/>
          <w:sz w:val="32"/>
          <w:szCs w:val="32"/>
          <w:u w:val="none"/>
          <w:lang w:val="en-US" w:eastAsia="zh-CN"/>
        </w:rPr>
        <w:t>高校毕业生只能申请毕业时所就读教育阶段的补偿代偿资金。如专升本毕业生只能申请本科教育阶段的补偿代偿资金，不能申请专科教育阶段的补偿代偿资金；本硕连读毕业生，只能申请硕士教育阶段的补偿代偿资金，不能申请本科教育阶段的补偿代偿资金。</w:t>
      </w:r>
    </w:p>
    <w:p w14:paraId="30AF6B34">
      <w:pPr>
        <w:keepNext w:val="0"/>
        <w:keepLines w:val="0"/>
        <w:pageBreakBefore w:val="0"/>
        <w:wordWrap/>
        <w:overflowPunct/>
        <w:topLinePunct w:val="0"/>
        <w:bidi w:val="0"/>
        <w:adjustRightInd w:val="0"/>
        <w:snapToGrid w:val="0"/>
        <w:spacing w:before="1" w:line="560" w:lineRule="exact"/>
        <w:ind w:left="692"/>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b/>
          <w:bCs/>
          <w:spacing w:val="4"/>
          <w:sz w:val="32"/>
          <w:szCs w:val="32"/>
        </w:rPr>
        <w:t>（二）补偿代偿方式的选择</w:t>
      </w:r>
    </w:p>
    <w:p w14:paraId="720887FF">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eastAsia" w:ascii="仿宋_GB2312" w:hAnsi="仿宋_GB2312" w:eastAsia="仿宋_GB2312" w:cs="仿宋_GB2312"/>
          <w:snapToGrid/>
          <w:spacing w:val="0"/>
          <w:kern w:val="2"/>
          <w:sz w:val="32"/>
          <w:szCs w:val="32"/>
          <w:u w:val="none"/>
          <w:lang w:val="en-US" w:eastAsia="zh-CN"/>
        </w:rPr>
      </w:pPr>
      <w:r>
        <w:rPr>
          <w:rFonts w:hint="eastAsia" w:ascii="仿宋_GB2312" w:hAnsi="仿宋_GB2312" w:eastAsia="仿宋_GB2312" w:cs="仿宋_GB2312"/>
          <w:snapToGrid/>
          <w:spacing w:val="0"/>
          <w:kern w:val="2"/>
          <w:sz w:val="32"/>
          <w:szCs w:val="32"/>
          <w:u w:val="none"/>
          <w:lang w:val="en-US" w:eastAsia="zh-CN"/>
        </w:rPr>
        <w:t>高校毕业生只能选择申请学费补偿或国家助学贷款代偿其中一种，在补偿代偿的教育阶段内，不能在某些年份申请学费补偿，其他年份申请国家助学贷款代偿。</w:t>
      </w:r>
    </w:p>
    <w:p w14:paraId="35744894">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baseline"/>
        <w:rPr>
          <w:rFonts w:hint="default" w:ascii="仿宋_GB2312" w:hAnsi="仿宋_GB2312" w:eastAsia="仿宋_GB2312" w:cs="仿宋_GB2312"/>
          <w:b/>
          <w:bCs/>
          <w:snapToGrid/>
          <w:spacing w:val="0"/>
          <w:kern w:val="2"/>
          <w:sz w:val="32"/>
          <w:szCs w:val="32"/>
          <w:u w:val="none"/>
          <w:lang w:val="en-US" w:eastAsia="zh-CN"/>
        </w:rPr>
      </w:pPr>
      <w:r>
        <w:rPr>
          <w:rFonts w:hint="eastAsia" w:ascii="仿宋_GB2312" w:hAnsi="仿宋_GB2312" w:eastAsia="仿宋_GB2312" w:cs="仿宋_GB2312"/>
          <w:b/>
          <w:bCs/>
          <w:snapToGrid/>
          <w:spacing w:val="0"/>
          <w:kern w:val="2"/>
          <w:sz w:val="32"/>
          <w:szCs w:val="32"/>
          <w:u w:val="none"/>
          <w:lang w:val="en-US" w:eastAsia="zh-CN"/>
        </w:rPr>
        <w:t>（三）补偿标准审核</w:t>
      </w:r>
    </w:p>
    <w:p w14:paraId="17AE4BF5">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napToGrid/>
          <w:spacing w:val="0"/>
          <w:kern w:val="2"/>
          <w:sz w:val="32"/>
          <w:szCs w:val="32"/>
          <w:u w:val="none"/>
          <w:lang w:val="en-US" w:eastAsia="zh-CN"/>
        </w:rPr>
        <w:t>毕业生在校学习期间每年实际缴纳的学费或获得的国家助学贷款低于补偿代偿标准的，按照实际缴纳的学费或获得的国家助学贷款金额实行补偿代偿。毕业生在校学习期间每年实际缴纳的学费或获得的国家助学贷款高于补偿代偿标准的，按照标准实行补偿代偿。</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0B64B0-2B3A-48C7-9D7B-CCCB78FA1D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D302F6E2-EC32-4EF0-92D8-F5837E89BFDE}"/>
  </w:font>
  <w:font w:name="楷体_GB2312">
    <w:altName w:val="楷体"/>
    <w:panose1 w:val="02010609030101010101"/>
    <w:charset w:val="86"/>
    <w:family w:val="auto"/>
    <w:pitch w:val="default"/>
    <w:sig w:usb0="00000000" w:usb1="00000000" w:usb2="00000000" w:usb3="00000000" w:csb0="00040000" w:csb1="00000000"/>
    <w:embedRegular r:id="rId3" w:fontKey="{FF66E740-37C7-43CD-9753-75ACB8F935B1}"/>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1750AB56-13B8-4A2C-BB75-CEDCCE9D8C2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7852"/>
    <w:rsid w:val="0026130D"/>
    <w:rsid w:val="008C7DF0"/>
    <w:rsid w:val="00930024"/>
    <w:rsid w:val="016245C6"/>
    <w:rsid w:val="01A544B3"/>
    <w:rsid w:val="026305F6"/>
    <w:rsid w:val="027125E7"/>
    <w:rsid w:val="029562D6"/>
    <w:rsid w:val="02C170CB"/>
    <w:rsid w:val="03C230FA"/>
    <w:rsid w:val="045D72C7"/>
    <w:rsid w:val="04DE21B6"/>
    <w:rsid w:val="04E83035"/>
    <w:rsid w:val="04F73278"/>
    <w:rsid w:val="05027D80"/>
    <w:rsid w:val="050D65F7"/>
    <w:rsid w:val="0539563E"/>
    <w:rsid w:val="054368E5"/>
    <w:rsid w:val="05467D5B"/>
    <w:rsid w:val="0580326D"/>
    <w:rsid w:val="05BC001D"/>
    <w:rsid w:val="05CD222A"/>
    <w:rsid w:val="0616772D"/>
    <w:rsid w:val="061A5470"/>
    <w:rsid w:val="066606B5"/>
    <w:rsid w:val="06823015"/>
    <w:rsid w:val="071F2612"/>
    <w:rsid w:val="0748600C"/>
    <w:rsid w:val="08CA47FF"/>
    <w:rsid w:val="097430E9"/>
    <w:rsid w:val="0A3463D4"/>
    <w:rsid w:val="0A430D0D"/>
    <w:rsid w:val="0B6B6E3A"/>
    <w:rsid w:val="0BBA0B5B"/>
    <w:rsid w:val="0C2573CF"/>
    <w:rsid w:val="0C5C1C12"/>
    <w:rsid w:val="0CB101B0"/>
    <w:rsid w:val="0D116EA1"/>
    <w:rsid w:val="0ED2440E"/>
    <w:rsid w:val="0F040A6B"/>
    <w:rsid w:val="0F114F36"/>
    <w:rsid w:val="10A36062"/>
    <w:rsid w:val="10AD6EE0"/>
    <w:rsid w:val="10EE172E"/>
    <w:rsid w:val="11160F29"/>
    <w:rsid w:val="11625F1D"/>
    <w:rsid w:val="11EE5A02"/>
    <w:rsid w:val="122E4051"/>
    <w:rsid w:val="12891287"/>
    <w:rsid w:val="12BE7183"/>
    <w:rsid w:val="12D44BF8"/>
    <w:rsid w:val="13BD38DE"/>
    <w:rsid w:val="1675224E"/>
    <w:rsid w:val="16D451C7"/>
    <w:rsid w:val="16FC64CC"/>
    <w:rsid w:val="1719707D"/>
    <w:rsid w:val="18827918"/>
    <w:rsid w:val="193C34F7"/>
    <w:rsid w:val="1AA50C28"/>
    <w:rsid w:val="1B2D1349"/>
    <w:rsid w:val="1C980A44"/>
    <w:rsid w:val="1D3249F5"/>
    <w:rsid w:val="1D385D84"/>
    <w:rsid w:val="1E1823CB"/>
    <w:rsid w:val="1E2A7DC2"/>
    <w:rsid w:val="1E546BED"/>
    <w:rsid w:val="1ED63AA6"/>
    <w:rsid w:val="1F5F1CED"/>
    <w:rsid w:val="1FD46237"/>
    <w:rsid w:val="201A79C2"/>
    <w:rsid w:val="201E5705"/>
    <w:rsid w:val="2027280B"/>
    <w:rsid w:val="207B4905"/>
    <w:rsid w:val="20F070A1"/>
    <w:rsid w:val="20FD356C"/>
    <w:rsid w:val="216B497A"/>
    <w:rsid w:val="220049B3"/>
    <w:rsid w:val="22AE0FC2"/>
    <w:rsid w:val="22BD2FB3"/>
    <w:rsid w:val="22D30A28"/>
    <w:rsid w:val="232F2389"/>
    <w:rsid w:val="23353491"/>
    <w:rsid w:val="246C2EE2"/>
    <w:rsid w:val="247C0C4C"/>
    <w:rsid w:val="251946ED"/>
    <w:rsid w:val="2584600A"/>
    <w:rsid w:val="25E35426"/>
    <w:rsid w:val="267C3185"/>
    <w:rsid w:val="26C30DB4"/>
    <w:rsid w:val="27A720F5"/>
    <w:rsid w:val="27D8088F"/>
    <w:rsid w:val="28397580"/>
    <w:rsid w:val="29D37560"/>
    <w:rsid w:val="2A443FBA"/>
    <w:rsid w:val="2AA131BA"/>
    <w:rsid w:val="2B0B2D29"/>
    <w:rsid w:val="2C1A3224"/>
    <w:rsid w:val="2CF717B7"/>
    <w:rsid w:val="2D2105E2"/>
    <w:rsid w:val="2D9C5EBB"/>
    <w:rsid w:val="2ECD27D0"/>
    <w:rsid w:val="2F634EE2"/>
    <w:rsid w:val="3034062C"/>
    <w:rsid w:val="30751371"/>
    <w:rsid w:val="3095731D"/>
    <w:rsid w:val="315A40C3"/>
    <w:rsid w:val="327F64D7"/>
    <w:rsid w:val="33770F5C"/>
    <w:rsid w:val="33A65CE5"/>
    <w:rsid w:val="33D60378"/>
    <w:rsid w:val="355F439E"/>
    <w:rsid w:val="35647C06"/>
    <w:rsid w:val="357F67EE"/>
    <w:rsid w:val="37305FF2"/>
    <w:rsid w:val="37386C54"/>
    <w:rsid w:val="37FA215C"/>
    <w:rsid w:val="39363667"/>
    <w:rsid w:val="3A7461F5"/>
    <w:rsid w:val="3A8D5509"/>
    <w:rsid w:val="3B6E0E96"/>
    <w:rsid w:val="3B8C57C0"/>
    <w:rsid w:val="3C7C3A87"/>
    <w:rsid w:val="3CE84C78"/>
    <w:rsid w:val="3E1C0B4E"/>
    <w:rsid w:val="3E614CE2"/>
    <w:rsid w:val="3EA25DC3"/>
    <w:rsid w:val="3FC217B1"/>
    <w:rsid w:val="40204729"/>
    <w:rsid w:val="412A4AB4"/>
    <w:rsid w:val="41A151D1"/>
    <w:rsid w:val="42334BE8"/>
    <w:rsid w:val="425A03C6"/>
    <w:rsid w:val="42B02F14"/>
    <w:rsid w:val="430622FC"/>
    <w:rsid w:val="43302ED5"/>
    <w:rsid w:val="43422D96"/>
    <w:rsid w:val="43911BC6"/>
    <w:rsid w:val="445D7CFA"/>
    <w:rsid w:val="44C45FCB"/>
    <w:rsid w:val="44F05012"/>
    <w:rsid w:val="45237196"/>
    <w:rsid w:val="45570BED"/>
    <w:rsid w:val="45863281"/>
    <w:rsid w:val="458F65D9"/>
    <w:rsid w:val="46737CA9"/>
    <w:rsid w:val="470703F1"/>
    <w:rsid w:val="47574ED5"/>
    <w:rsid w:val="47680E90"/>
    <w:rsid w:val="48480CC1"/>
    <w:rsid w:val="484A67E7"/>
    <w:rsid w:val="484C798C"/>
    <w:rsid w:val="485B6C46"/>
    <w:rsid w:val="48E44E8E"/>
    <w:rsid w:val="49366D6C"/>
    <w:rsid w:val="49E52C6C"/>
    <w:rsid w:val="4A9D70A2"/>
    <w:rsid w:val="4BA97CC9"/>
    <w:rsid w:val="4BCA036B"/>
    <w:rsid w:val="4C52210E"/>
    <w:rsid w:val="4CA26BF2"/>
    <w:rsid w:val="4CBD3A2C"/>
    <w:rsid w:val="4CBF791F"/>
    <w:rsid w:val="4D4B1038"/>
    <w:rsid w:val="4D6B3488"/>
    <w:rsid w:val="4DA62712"/>
    <w:rsid w:val="4DB0533F"/>
    <w:rsid w:val="4DFC0584"/>
    <w:rsid w:val="4EC217CD"/>
    <w:rsid w:val="4ECE0172"/>
    <w:rsid w:val="4F2C4E99"/>
    <w:rsid w:val="4F2C6C47"/>
    <w:rsid w:val="4FA26F09"/>
    <w:rsid w:val="4FB76E58"/>
    <w:rsid w:val="5133250E"/>
    <w:rsid w:val="51FD35E2"/>
    <w:rsid w:val="52285DEB"/>
    <w:rsid w:val="522E717A"/>
    <w:rsid w:val="523522B6"/>
    <w:rsid w:val="524E3378"/>
    <w:rsid w:val="538162CA"/>
    <w:rsid w:val="540A3316"/>
    <w:rsid w:val="54210D44"/>
    <w:rsid w:val="54442C85"/>
    <w:rsid w:val="547827D6"/>
    <w:rsid w:val="54994D7E"/>
    <w:rsid w:val="549E2395"/>
    <w:rsid w:val="56867584"/>
    <w:rsid w:val="56D77DE0"/>
    <w:rsid w:val="572E39BC"/>
    <w:rsid w:val="57DD1426"/>
    <w:rsid w:val="58201313"/>
    <w:rsid w:val="58515970"/>
    <w:rsid w:val="58E14F46"/>
    <w:rsid w:val="592B4413"/>
    <w:rsid w:val="5943350B"/>
    <w:rsid w:val="59823FB9"/>
    <w:rsid w:val="598A738C"/>
    <w:rsid w:val="5A5F4374"/>
    <w:rsid w:val="5A84202D"/>
    <w:rsid w:val="5A8C2C8F"/>
    <w:rsid w:val="5AD92379"/>
    <w:rsid w:val="5B6D0D13"/>
    <w:rsid w:val="5BB16E51"/>
    <w:rsid w:val="5BC07095"/>
    <w:rsid w:val="5BF94355"/>
    <w:rsid w:val="5C14118E"/>
    <w:rsid w:val="5C5D48E3"/>
    <w:rsid w:val="5CE648D9"/>
    <w:rsid w:val="5DC80482"/>
    <w:rsid w:val="5EB6477F"/>
    <w:rsid w:val="5EE25574"/>
    <w:rsid w:val="60812AB5"/>
    <w:rsid w:val="60A800F7"/>
    <w:rsid w:val="613C540F"/>
    <w:rsid w:val="62E25B42"/>
    <w:rsid w:val="6353259C"/>
    <w:rsid w:val="638210D3"/>
    <w:rsid w:val="63BE65AF"/>
    <w:rsid w:val="64267CB1"/>
    <w:rsid w:val="64DD2A65"/>
    <w:rsid w:val="64E9765C"/>
    <w:rsid w:val="650049A6"/>
    <w:rsid w:val="660B3602"/>
    <w:rsid w:val="669730E8"/>
    <w:rsid w:val="672E75A8"/>
    <w:rsid w:val="676F196F"/>
    <w:rsid w:val="67A40418"/>
    <w:rsid w:val="67F73E3E"/>
    <w:rsid w:val="681A5D7E"/>
    <w:rsid w:val="68637725"/>
    <w:rsid w:val="688356D2"/>
    <w:rsid w:val="693B7D5A"/>
    <w:rsid w:val="69E5416A"/>
    <w:rsid w:val="6A222CC8"/>
    <w:rsid w:val="6A6D457D"/>
    <w:rsid w:val="6A7C687C"/>
    <w:rsid w:val="6B99520C"/>
    <w:rsid w:val="6BD9385B"/>
    <w:rsid w:val="6C924135"/>
    <w:rsid w:val="6CA1081C"/>
    <w:rsid w:val="6D2531FB"/>
    <w:rsid w:val="6DA265FA"/>
    <w:rsid w:val="6DB4632D"/>
    <w:rsid w:val="6DCF13B9"/>
    <w:rsid w:val="6DD864C0"/>
    <w:rsid w:val="6E2E60E0"/>
    <w:rsid w:val="6FDE0BDB"/>
    <w:rsid w:val="70131A31"/>
    <w:rsid w:val="702E0619"/>
    <w:rsid w:val="70B85854"/>
    <w:rsid w:val="71A46EE4"/>
    <w:rsid w:val="71EF5B86"/>
    <w:rsid w:val="720C6738"/>
    <w:rsid w:val="722A3062"/>
    <w:rsid w:val="73B47087"/>
    <w:rsid w:val="74122000"/>
    <w:rsid w:val="746C5BB4"/>
    <w:rsid w:val="74884070"/>
    <w:rsid w:val="74940C67"/>
    <w:rsid w:val="75585F01"/>
    <w:rsid w:val="76DF266D"/>
    <w:rsid w:val="771A36A5"/>
    <w:rsid w:val="77744E6C"/>
    <w:rsid w:val="777C1537"/>
    <w:rsid w:val="779276DF"/>
    <w:rsid w:val="77B77146"/>
    <w:rsid w:val="78306EF8"/>
    <w:rsid w:val="79077C59"/>
    <w:rsid w:val="792C5912"/>
    <w:rsid w:val="797572B9"/>
    <w:rsid w:val="79913FD2"/>
    <w:rsid w:val="79EB1329"/>
    <w:rsid w:val="7AD251AF"/>
    <w:rsid w:val="7B9D6653"/>
    <w:rsid w:val="7C0B21C9"/>
    <w:rsid w:val="7C1873ED"/>
    <w:rsid w:val="7CBC0D5A"/>
    <w:rsid w:val="7D0E5A5A"/>
    <w:rsid w:val="7E7F4735"/>
    <w:rsid w:val="7E933D3D"/>
    <w:rsid w:val="7E971A7F"/>
    <w:rsid w:val="7EA1645A"/>
    <w:rsid w:val="7F2C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5"/>
      <w:szCs w:val="3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1776</Words>
  <Characters>1818</Characters>
  <Lines>0</Lines>
  <Paragraphs>0</Paragraphs>
  <TotalTime>1</TotalTime>
  <ScaleCrop>false</ScaleCrop>
  <LinksUpToDate>false</LinksUpToDate>
  <CharactersWithSpaces>1828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2025-04-17T08:25:00Z</dcterms:created>
  <dc:creator>Administrator</dc:creator>
  <cp:lastModifiedBy>吴思</cp:lastModifiedBy>
  <dcterms:modified xsi:type="dcterms:W3CDTF">2025-09-12T00:43:48Z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eyJoZGlkIjoiNWU0ZGJiMDU4M2U1MTBkZGJlMDRlYjkyYTYzMTExYzciLCJ1c2VySWQiOiIyNjcwODQyMzUifQ==</vt:lpwstr>
  </property>
  <property fmtid="{D5CDD505-2E9C-101B-9397-08002B2CF9AE}" pid="4" name="ICV">
    <vt:lpwstr>9B1488C5CD6D4CA68D42120FAF31658D_13</vt:lpwstr>
  </property>
</Properties>
</file>