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Cs/>
          <w:color w:val="auto"/>
          <w:sz w:val="28"/>
        </w:rPr>
      </w:pPr>
    </w:p>
    <w:tbl>
      <w:tblPr>
        <w:tblStyle w:val="7"/>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color w:val="auto"/>
              </w:rPr>
            </w:pPr>
            <w:r>
              <w:rPr>
                <w:rFonts w:ascii="Times New Roman" w:hAnsi="Times New Roman" w:eastAsia="楷体_GB2312" w:cs="Times New Roman"/>
                <w:color w:val="auto"/>
              </w:rPr>
              <w:t>批准立项年份</w:t>
            </w:r>
          </w:p>
        </w:tc>
        <w:tc>
          <w:tcPr>
            <w:tcW w:w="1800" w:type="dxa"/>
            <w:vAlign w:val="center"/>
          </w:tcPr>
          <w:p>
            <w:pPr>
              <w:snapToGrid w:val="0"/>
              <w:jc w:val="center"/>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2015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color w:val="auto"/>
              </w:rPr>
            </w:pPr>
            <w:r>
              <w:rPr>
                <w:rFonts w:ascii="Times New Roman" w:hAnsi="Times New Roman" w:eastAsia="楷体_GB2312" w:cs="Times New Roman"/>
                <w:color w:val="auto"/>
              </w:rPr>
              <w:t>通过验收年份</w:t>
            </w:r>
          </w:p>
        </w:tc>
        <w:tc>
          <w:tcPr>
            <w:tcW w:w="1800" w:type="dxa"/>
            <w:vAlign w:val="center"/>
          </w:tcPr>
          <w:p>
            <w:pPr>
              <w:snapToGrid w:val="0"/>
              <w:jc w:val="center"/>
              <w:rPr>
                <w:rFonts w:ascii="Times New Roman" w:hAnsi="Times New Roman" w:eastAsia="楷体_GB2312" w:cs="Times New Roman"/>
                <w:color w:val="auto"/>
              </w:rPr>
            </w:pPr>
          </w:p>
        </w:tc>
      </w:tr>
    </w:tbl>
    <w:p>
      <w:pPr>
        <w:rPr>
          <w:rFonts w:ascii="Times New Roman" w:hAnsi="Times New Roman" w:eastAsia="楷体_GB2312" w:cs="Times New Roman"/>
          <w:color w:val="auto"/>
          <w:sz w:val="28"/>
        </w:rPr>
      </w:pPr>
    </w:p>
    <w:p>
      <w:pPr>
        <w:rPr>
          <w:rFonts w:ascii="Times New Roman" w:hAnsi="Times New Roman" w:eastAsia="楷体_GB2312" w:cs="Times New Roman"/>
          <w:color w:val="auto"/>
          <w:sz w:val="28"/>
        </w:rPr>
      </w:pPr>
    </w:p>
    <w:p>
      <w:pP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r>
        <w:rPr>
          <w:rFonts w:hint="eastAsia" w:ascii="Times New Roman" w:hAnsi="Times New Roman" w:eastAsia="黑体" w:cs="Times New Roman"/>
          <w:b/>
          <w:color w:val="auto"/>
          <w:sz w:val="44"/>
        </w:rPr>
        <w:t>国家级实验教学示范中心年度报告</w:t>
      </w:r>
    </w:p>
    <w:p>
      <w:pPr>
        <w:jc w:val="center"/>
        <w:rPr>
          <w:rFonts w:ascii="Times New Roman" w:hAnsi="Times New Roman" w:eastAsia="楷体_GB2312" w:cs="Times New Roman"/>
          <w:color w:val="auto"/>
          <w:sz w:val="28"/>
        </w:rPr>
      </w:pPr>
      <w:r>
        <w:rPr>
          <w:rFonts w:ascii="Times New Roman" w:hAnsi="Times New Roman" w:eastAsia="楷体_GB2312" w:cs="Times New Roman"/>
          <w:color w:val="auto"/>
          <w:sz w:val="28"/>
        </w:rPr>
        <w:t>（20</w:t>
      </w:r>
      <w:r>
        <w:rPr>
          <w:rFonts w:hint="eastAsia" w:ascii="Times New Roman" w:hAnsi="Times New Roman" w:eastAsia="楷体_GB2312" w:cs="Times New Roman"/>
          <w:color w:val="auto"/>
          <w:sz w:val="28"/>
          <w:lang w:val="en-US" w:eastAsia="zh-CN"/>
        </w:rPr>
        <w:t>22</w:t>
      </w:r>
      <w:r>
        <w:rPr>
          <w:rFonts w:ascii="Times New Roman" w:hAnsi="Times New Roman" w:eastAsia="楷体_GB2312" w:cs="Times New Roman"/>
          <w:color w:val="auto"/>
          <w:sz w:val="28"/>
        </w:rPr>
        <w:t>年1月</w:t>
      </w:r>
      <w:r>
        <w:rPr>
          <w:rFonts w:hint="eastAsia" w:ascii="Times New Roman" w:hAnsi="Times New Roman" w:eastAsia="楷体_GB2312" w:cs="Times New Roman"/>
          <w:color w:val="auto"/>
          <w:sz w:val="28"/>
        </w:rPr>
        <w:t>1日</w:t>
      </w:r>
      <w:r>
        <w:rPr>
          <w:rFonts w:ascii="Times New Roman" w:hAnsi="Times New Roman" w:eastAsia="楷体_GB2312" w:cs="Times New Roman"/>
          <w:color w:val="auto"/>
          <w:sz w:val="28"/>
        </w:rPr>
        <w:t>——20</w:t>
      </w:r>
      <w:r>
        <w:rPr>
          <w:rFonts w:hint="eastAsia" w:ascii="Times New Roman" w:hAnsi="Times New Roman" w:eastAsia="楷体_GB2312" w:cs="Times New Roman"/>
          <w:color w:val="auto"/>
          <w:sz w:val="28"/>
          <w:lang w:val="en-US" w:eastAsia="zh-CN"/>
        </w:rPr>
        <w:t>22</w:t>
      </w:r>
      <w:r>
        <w:rPr>
          <w:rFonts w:ascii="Times New Roman" w:hAnsi="Times New Roman" w:eastAsia="楷体_GB2312" w:cs="Times New Roman"/>
          <w:color w:val="auto"/>
          <w:sz w:val="28"/>
        </w:rPr>
        <w:t>年12月</w:t>
      </w:r>
      <w:r>
        <w:rPr>
          <w:rFonts w:hint="eastAsia" w:ascii="Times New Roman" w:hAnsi="Times New Roman" w:eastAsia="楷体_GB2312" w:cs="Times New Roman"/>
          <w:color w:val="auto"/>
          <w:sz w:val="28"/>
        </w:rPr>
        <w:t>31日</w:t>
      </w:r>
      <w:r>
        <w:rPr>
          <w:rFonts w:ascii="Times New Roman" w:hAnsi="Times New Roman" w:eastAsia="楷体_GB2312" w:cs="Times New Roman"/>
          <w:color w:val="auto"/>
          <w:sz w:val="28"/>
        </w:rPr>
        <w:t>）</w:t>
      </w:r>
    </w:p>
    <w:p>
      <w:pPr>
        <w:rPr>
          <w:rFonts w:ascii="Times New Roman" w:hAnsi="Times New Roman" w:eastAsia="楷体_GB2312" w:cs="Times New Roman"/>
          <w:color w:val="auto"/>
          <w:sz w:val="28"/>
        </w:rPr>
      </w:pPr>
    </w:p>
    <w:p>
      <w:pPr>
        <w:rPr>
          <w:rFonts w:ascii="Times New Roman" w:hAnsi="Times New Roman" w:eastAsia="楷体_GB2312" w:cs="Times New Roman"/>
          <w:color w:val="auto"/>
          <w:sz w:val="28"/>
        </w:rPr>
      </w:pPr>
    </w:p>
    <w:p>
      <w:pPr>
        <w:rPr>
          <w:rFonts w:ascii="Times New Roman" w:hAnsi="Times New Roman" w:eastAsia="楷体_GB2312" w:cs="Times New Roman"/>
          <w:b/>
          <w:color w:val="auto"/>
          <w:sz w:val="28"/>
        </w:rPr>
      </w:pP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实验教学中心名称</w:t>
      </w:r>
      <w:r>
        <w:rPr>
          <w:rFonts w:ascii="Times New Roman" w:hAnsi="Times New Roman" w:eastAsia="楷体_GB2312" w:cs="Times New Roman"/>
          <w:b/>
          <w:sz w:val="28"/>
        </w:rPr>
        <w:t>：</w:t>
      </w:r>
      <w:r>
        <w:rPr>
          <w:rFonts w:hint="eastAsia" w:ascii="Times New Roman" w:hAnsi="Times New Roman" w:eastAsia="楷体_GB2312" w:cs="Times New Roman"/>
          <w:b/>
          <w:sz w:val="28"/>
        </w:rPr>
        <w:t>寒地作物栽培技术实验教学中心</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实验教学中心主任：于立河</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w:t>
      </w:r>
      <w:r>
        <w:rPr>
          <w:rFonts w:ascii="Times New Roman" w:hAnsi="Times New Roman" w:eastAsia="楷体_GB2312" w:cs="Times New Roman"/>
          <w:b/>
          <w:sz w:val="28"/>
        </w:rPr>
        <w:t>联系人/联系电话：</w:t>
      </w:r>
      <w:r>
        <w:rPr>
          <w:rFonts w:hint="eastAsia" w:ascii="Times New Roman" w:hAnsi="Times New Roman" w:eastAsia="楷体_GB2312" w:cs="Times New Roman"/>
          <w:b/>
          <w:sz w:val="28"/>
        </w:rPr>
        <w:t>郑雯 0459-6819172</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实验教学中心联系人电子邮箱</w:t>
      </w:r>
      <w:r>
        <w:rPr>
          <w:rFonts w:ascii="Times New Roman" w:hAnsi="Times New Roman" w:eastAsia="楷体_GB2312" w:cs="Times New Roman"/>
          <w:b/>
          <w:sz w:val="28"/>
        </w:rPr>
        <w:t>：</w:t>
      </w:r>
      <w:r>
        <w:rPr>
          <w:rFonts w:hint="eastAsia" w:ascii="Times New Roman" w:hAnsi="Times New Roman" w:eastAsia="楷体_GB2312" w:cs="Times New Roman"/>
          <w:b/>
          <w:sz w:val="28"/>
        </w:rPr>
        <w:t>zhengwen6795@163.com</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w:t>
      </w:r>
      <w:r>
        <w:rPr>
          <w:rFonts w:ascii="Times New Roman" w:hAnsi="Times New Roman" w:eastAsia="楷体_GB2312" w:cs="Times New Roman"/>
          <w:b/>
          <w:sz w:val="28"/>
        </w:rPr>
        <w:t>名称：</w:t>
      </w:r>
      <w:r>
        <w:rPr>
          <w:rFonts w:hint="eastAsia" w:ascii="Times New Roman" w:hAnsi="Times New Roman" w:eastAsia="楷体_GB2312" w:cs="Times New Roman"/>
          <w:b/>
          <w:sz w:val="28"/>
        </w:rPr>
        <w:t>黑龙江八一农垦大学</w:t>
      </w:r>
    </w:p>
    <w:p>
      <w:pPr>
        <w:jc w:val="both"/>
        <w:rPr>
          <w:rFonts w:ascii="Times New Roman" w:hAnsi="Times New Roman" w:eastAsia="楷体_GB2312" w:cs="Times New Roman"/>
          <w:color w:val="auto"/>
          <w:sz w:val="28"/>
        </w:rPr>
      </w:pPr>
      <w:r>
        <w:rPr>
          <w:rFonts w:hint="eastAsia" w:ascii="Times New Roman" w:hAnsi="Times New Roman" w:eastAsia="楷体_GB2312" w:cs="Times New Roman"/>
          <w:b/>
          <w:sz w:val="28"/>
        </w:rPr>
        <w:t>所在学校</w:t>
      </w:r>
      <w:r>
        <w:rPr>
          <w:rFonts w:ascii="Times New Roman" w:hAnsi="Times New Roman" w:eastAsia="楷体_GB2312" w:cs="Times New Roman"/>
          <w:b/>
          <w:sz w:val="28"/>
        </w:rPr>
        <w:t>联系人/联系电话：</w:t>
      </w:r>
      <w:r>
        <w:rPr>
          <w:rFonts w:hint="eastAsia" w:ascii="Times New Roman" w:hAnsi="Times New Roman" w:eastAsia="楷体_GB2312" w:cs="Times New Roman"/>
          <w:b/>
          <w:sz w:val="28"/>
        </w:rPr>
        <w:t>王宪青 0459-6819099</w:t>
      </w: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p>
    <w:p>
      <w:pPr>
        <w:jc w:val="center"/>
        <w:rPr>
          <w:rFonts w:ascii="Times New Roman" w:hAnsi="Times New Roman" w:eastAsia="楷体_GB2312" w:cs="Times New Roman"/>
          <w:color w:val="auto"/>
          <w:sz w:val="28"/>
        </w:rPr>
      </w:pPr>
      <w:r>
        <w:rPr>
          <w:rFonts w:hint="eastAsia" w:ascii="Times New Roman" w:hAnsi="Times New Roman" w:eastAsia="楷体_GB2312" w:cs="Times New Roman"/>
          <w:color w:val="auto"/>
          <w:sz w:val="28"/>
          <w:lang w:val="en-US" w:eastAsia="zh-CN"/>
        </w:rPr>
        <w:t>2022</w:t>
      </w:r>
      <w:r>
        <w:rPr>
          <w:rFonts w:ascii="Times New Roman" w:hAnsi="Times New Roman" w:eastAsia="楷体_GB2312" w:cs="Times New Roman"/>
          <w:color w:val="auto"/>
          <w:sz w:val="28"/>
        </w:rPr>
        <w:t xml:space="preserve">年 </w:t>
      </w:r>
      <w:r>
        <w:rPr>
          <w:rFonts w:hint="eastAsia" w:ascii="Times New Roman" w:hAnsi="Times New Roman" w:eastAsia="楷体_GB2312" w:cs="Times New Roman"/>
          <w:color w:val="auto"/>
          <w:sz w:val="28"/>
          <w:lang w:val="en-US" w:eastAsia="zh-CN"/>
        </w:rPr>
        <w:t>12</w:t>
      </w:r>
      <w:r>
        <w:rPr>
          <w:rFonts w:ascii="Times New Roman" w:hAnsi="Times New Roman" w:eastAsia="楷体_GB2312" w:cs="Times New Roman"/>
          <w:color w:val="auto"/>
          <w:sz w:val="28"/>
        </w:rPr>
        <w:t xml:space="preserve"> 月</w:t>
      </w:r>
      <w:r>
        <w:rPr>
          <w:rFonts w:hint="eastAsia" w:ascii="Times New Roman" w:hAnsi="Times New Roman" w:eastAsia="楷体_GB2312" w:cs="Times New Roman"/>
          <w:color w:val="auto"/>
          <w:sz w:val="28"/>
          <w:lang w:val="en-US" w:eastAsia="zh-CN"/>
        </w:rPr>
        <w:t>23</w:t>
      </w:r>
      <w:r>
        <w:rPr>
          <w:rFonts w:ascii="Times New Roman" w:hAnsi="Times New Roman" w:eastAsia="楷体_GB2312" w:cs="Times New Roman"/>
          <w:color w:val="auto"/>
          <w:sz w:val="28"/>
        </w:rPr>
        <w:t xml:space="preserve"> 日填报</w:t>
      </w:r>
    </w:p>
    <w:p>
      <w:pPr>
        <w:widowControl/>
        <w:jc w:val="center"/>
        <w:rPr>
          <w:rFonts w:ascii="黑体" w:hAnsi="黑体" w:eastAsia="黑体" w:cs="仿宋_GB2312"/>
          <w:bCs/>
          <w:sz w:val="32"/>
          <w:szCs w:val="32"/>
        </w:rPr>
      </w:pPr>
      <w:r>
        <w:rPr>
          <w:rFonts w:ascii="仿宋_GB2312" w:eastAsia="仿宋_GB2312"/>
          <w:color w:val="auto"/>
          <w:sz w:val="28"/>
          <w:szCs w:val="28"/>
        </w:rPr>
        <w:br w:type="page"/>
      </w:r>
      <w:r>
        <w:rPr>
          <w:rFonts w:hint="eastAsia" w:ascii="黑体" w:hAnsi="黑体" w:eastAsia="黑体"/>
          <w:sz w:val="32"/>
          <w:szCs w:val="32"/>
        </w:rPr>
        <w:t xml:space="preserve">第一部分  </w:t>
      </w:r>
      <w:r>
        <w:rPr>
          <w:rFonts w:hint="eastAsia" w:ascii="黑体" w:hAnsi="黑体" w:eastAsia="黑体" w:cs="黑体"/>
          <w:bCs/>
          <w:sz w:val="32"/>
          <w:szCs w:val="32"/>
        </w:rPr>
        <w:t>年度报告</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黑龙江八一农垦大学寒地作物栽培技术实验教学中心是面向全校农学类本科生开放的校级实验教学平台。中心成立于2003年，2009年成为省级实验教学示范中心，2015年12月获批成为国家级实验教学示范中心。</w:t>
      </w:r>
      <w:r>
        <w:rPr>
          <w:rFonts w:hint="eastAsia" w:ascii="仿宋_GB2312" w:hAnsi="仿宋_GB2312" w:eastAsia="仿宋_GB2312" w:cs="仿宋_GB2312"/>
          <w:sz w:val="28"/>
          <w:szCs w:val="28"/>
          <w:highlight w:val="none"/>
          <w:lang w:eastAsia="zh-CN"/>
        </w:rPr>
        <w:t>现将</w:t>
      </w:r>
      <w:r>
        <w:rPr>
          <w:rFonts w:hint="eastAsia"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eastAsia="zh-CN"/>
        </w:rPr>
        <w:t>度中心建设</w:t>
      </w:r>
      <w:r>
        <w:rPr>
          <w:rFonts w:hint="eastAsia" w:ascii="仿宋_GB2312" w:hAnsi="仿宋_GB2312" w:eastAsia="仿宋_GB2312" w:cs="仿宋_GB2312"/>
          <w:sz w:val="28"/>
          <w:szCs w:val="28"/>
          <w:highlight w:val="none"/>
        </w:rPr>
        <w:t>情况</w:t>
      </w:r>
      <w:r>
        <w:rPr>
          <w:rFonts w:hint="eastAsia" w:ascii="仿宋_GB2312" w:hAnsi="仿宋_GB2312" w:eastAsia="仿宋_GB2312" w:cs="仿宋_GB2312"/>
          <w:sz w:val="28"/>
          <w:szCs w:val="28"/>
          <w:highlight w:val="none"/>
          <w:lang w:eastAsia="zh-CN"/>
        </w:rPr>
        <w:t>报告</w:t>
      </w:r>
      <w:r>
        <w:rPr>
          <w:rFonts w:hint="eastAsia" w:ascii="仿宋_GB2312" w:hAnsi="仿宋_GB2312" w:eastAsia="仿宋_GB2312" w:cs="仿宋_GB2312"/>
          <w:sz w:val="28"/>
          <w:szCs w:val="28"/>
          <w:highlight w:val="none"/>
        </w:rPr>
        <w:t>如下</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 xml:space="preserve"> </w:t>
      </w:r>
    </w:p>
    <w:p>
      <w:pPr>
        <w:ind w:firstLine="560" w:firstLineChars="200"/>
        <w:rPr>
          <w:rFonts w:ascii="仿宋_GB2312" w:eastAsia="仿宋_GB2312" w:cs="仿宋_GB2312"/>
          <w:bCs/>
          <w:sz w:val="28"/>
          <w:szCs w:val="28"/>
        </w:rPr>
      </w:pPr>
      <w:r>
        <w:rPr>
          <w:rFonts w:hint="eastAsia" w:ascii="仿宋_GB2312" w:hAnsi="仿宋_GB2312" w:eastAsia="仿宋_GB2312" w:cs="仿宋_GB2312"/>
          <w:sz w:val="28"/>
          <w:szCs w:val="28"/>
          <w:highlight w:val="none"/>
        </w:rPr>
        <w:t xml:space="preserve">中心现有实验室建筑面积 </w:t>
      </w:r>
      <w:r>
        <w:rPr>
          <w:rFonts w:hint="eastAsia" w:ascii="仿宋_GB2312" w:hAnsi="仿宋_GB2312" w:eastAsia="仿宋_GB2312" w:cs="仿宋_GB2312"/>
          <w:sz w:val="28"/>
          <w:szCs w:val="28"/>
          <w:highlight w:val="none"/>
          <w:lang w:val="en-US" w:eastAsia="zh-CN"/>
        </w:rPr>
        <w:t>6294</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 xml:space="preserve">实验示范中心现有仪器设备 </w:t>
      </w:r>
      <w:r>
        <w:rPr>
          <w:rFonts w:hint="eastAsia" w:ascii="仿宋_GB2312" w:hAnsi="仿宋_GB2312" w:eastAsia="仿宋_GB2312" w:cs="仿宋_GB2312"/>
          <w:sz w:val="28"/>
          <w:szCs w:val="28"/>
          <w:highlight w:val="none"/>
          <w:lang w:val="en-US" w:eastAsia="zh-CN"/>
        </w:rPr>
        <w:t>2461</w:t>
      </w:r>
      <w:r>
        <w:rPr>
          <w:rFonts w:hint="eastAsia" w:ascii="仿宋_GB2312" w:hAnsi="仿宋_GB2312" w:eastAsia="仿宋_GB2312" w:cs="仿宋_GB2312"/>
          <w:sz w:val="28"/>
          <w:szCs w:val="28"/>
          <w:highlight w:val="none"/>
        </w:rPr>
        <w:t xml:space="preserve"> 台（套），总价值 </w:t>
      </w:r>
      <w:r>
        <w:rPr>
          <w:rFonts w:hint="eastAsia" w:ascii="仿宋_GB2312" w:hAnsi="仿宋_GB2312" w:eastAsia="仿宋_GB2312" w:cs="仿宋_GB2312"/>
          <w:sz w:val="28"/>
          <w:szCs w:val="28"/>
          <w:highlight w:val="none"/>
          <w:lang w:val="en-US" w:eastAsia="zh-CN"/>
        </w:rPr>
        <w:t>4185</w:t>
      </w:r>
      <w:r>
        <w:rPr>
          <w:rFonts w:hint="eastAsia" w:ascii="仿宋_GB2312" w:hAnsi="仿宋_GB2312" w:eastAsia="仿宋_GB2312" w:cs="仿宋_GB2312"/>
          <w:sz w:val="28"/>
          <w:szCs w:val="28"/>
          <w:highlight w:val="none"/>
        </w:rPr>
        <w:t xml:space="preserve"> 万元，比上年增加</w:t>
      </w: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台套，总价值</w:t>
      </w:r>
      <w:r>
        <w:rPr>
          <w:rFonts w:hint="eastAsia" w:ascii="仿宋_GB2312" w:hAnsi="仿宋_GB2312" w:eastAsia="仿宋_GB2312" w:cs="仿宋_GB2312"/>
          <w:sz w:val="28"/>
          <w:szCs w:val="28"/>
          <w:highlight w:val="none"/>
          <w:lang w:eastAsia="zh-CN"/>
        </w:rPr>
        <w:t>增加</w:t>
      </w:r>
      <w:r>
        <w:rPr>
          <w:rFonts w:hint="eastAsia" w:ascii="仿宋_GB2312" w:hAnsi="仿宋_GB2312" w:eastAsia="仿宋_GB2312" w:cs="仿宋_GB2312"/>
          <w:sz w:val="28"/>
          <w:szCs w:val="28"/>
          <w:highlight w:val="none"/>
          <w:lang w:val="en-US" w:eastAsia="zh-CN"/>
        </w:rPr>
        <w:t>17.5</w:t>
      </w:r>
      <w:r>
        <w:rPr>
          <w:rFonts w:hint="eastAsia" w:ascii="仿宋_GB2312" w:hAnsi="仿宋_GB2312" w:eastAsia="仿宋_GB2312" w:cs="仿宋_GB2312"/>
          <w:sz w:val="28"/>
          <w:szCs w:val="28"/>
          <w:highlight w:val="none"/>
        </w:rPr>
        <w:t>万元；202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年度教学工作量达到</w:t>
      </w:r>
      <w:r>
        <w:rPr>
          <w:rFonts w:hint="eastAsia" w:ascii="仿宋_GB2312" w:hAnsi="仿宋_GB2312" w:eastAsia="仿宋_GB2312" w:cs="仿宋_GB2312"/>
          <w:color w:val="FF0000"/>
          <w:sz w:val="28"/>
          <w:szCs w:val="28"/>
          <w:highlight w:val="none"/>
        </w:rPr>
        <w:t xml:space="preserve"> </w:t>
      </w: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787</w:t>
      </w:r>
      <w:r>
        <w:rPr>
          <w:rFonts w:hint="eastAsia" w:ascii="仿宋_GB2312" w:hAnsi="仿宋_GB2312" w:eastAsia="仿宋_GB2312" w:cs="仿宋_GB2312"/>
          <w:sz w:val="28"/>
          <w:szCs w:val="28"/>
          <w:highlight w:val="none"/>
        </w:rPr>
        <w:t xml:space="preserve"> 万人时数，比20</w:t>
      </w:r>
      <w:r>
        <w:rPr>
          <w:rFonts w:hint="eastAsia" w:ascii="仿宋_GB2312" w:hAnsi="仿宋_GB2312" w:eastAsia="仿宋_GB2312" w:cs="仿宋_GB2312"/>
          <w:sz w:val="28"/>
          <w:szCs w:val="28"/>
          <w:highlight w:val="none"/>
          <w:lang w:val="en-US" w:eastAsia="zh-CN"/>
        </w:rPr>
        <w:t>21</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eastAsia="zh-CN"/>
        </w:rPr>
        <w:t>增加</w:t>
      </w: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92</w:t>
      </w:r>
      <w:r>
        <w:rPr>
          <w:rFonts w:hint="eastAsia" w:ascii="仿宋_GB2312" w:hAnsi="仿宋_GB2312" w:eastAsia="仿宋_GB2312" w:cs="仿宋_GB2312"/>
          <w:sz w:val="28"/>
          <w:szCs w:val="28"/>
          <w:highlight w:val="none"/>
        </w:rPr>
        <w:t>万人时数。</w:t>
      </w:r>
      <w:r>
        <w:rPr>
          <w:rFonts w:hint="eastAsia" w:ascii="仿宋_GB2312" w:hAnsi="仿宋_GB2312" w:eastAsia="仿宋_GB2312" w:cs="仿宋_GB2312"/>
          <w:sz w:val="28"/>
          <w:szCs w:val="28"/>
        </w:rPr>
        <w:t>经过 10 多年的建设，构建了以“4模块+4能力”为核心的服务现代化大农业人才培养的实践教学体系，有力的支持了我校农学类专业人才的培养。黑龙江八一农垦大学作为支撑我国寒地现代化大农业的人才和技术摇篮，素有“垦区黄埔”之美誉，寒地作物栽培技术实验教学中心已成为这座“垦区黄埔”不可或缺的重要组成部分。</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一、人才培养工作和成效</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（一）人才培养基本情况。</w:t>
      </w:r>
    </w:p>
    <w:p>
      <w:pPr>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1.中心面向9个专业，开设植物、遗传、</w:t>
      </w:r>
      <w:r>
        <w:rPr>
          <w:rFonts w:hint="eastAsia" w:ascii="仿宋_GB2312" w:hAnsi="仿宋_GB2312" w:eastAsia="仿宋_GB2312" w:cs="仿宋_GB2312"/>
          <w:sz w:val="28"/>
          <w:szCs w:val="28"/>
          <w:highlight w:val="none"/>
          <w:lang w:eastAsia="zh-CN"/>
        </w:rPr>
        <w:t>气象、</w:t>
      </w:r>
      <w:r>
        <w:rPr>
          <w:rFonts w:hint="eastAsia" w:ascii="仿宋_GB2312" w:hAnsi="仿宋_GB2312" w:eastAsia="仿宋_GB2312" w:cs="仿宋_GB2312"/>
          <w:sz w:val="28"/>
          <w:szCs w:val="28"/>
          <w:highlight w:val="none"/>
        </w:rPr>
        <w:t>微生物、生理生化、分子生物学、土壤农化、植物保护、</w:t>
      </w:r>
      <w:r>
        <w:rPr>
          <w:rFonts w:hint="eastAsia" w:ascii="仿宋_GB2312" w:hAnsi="仿宋_GB2312" w:eastAsia="仿宋_GB2312" w:cs="仿宋_GB2312"/>
          <w:sz w:val="28"/>
          <w:szCs w:val="28"/>
          <w:highlight w:val="none"/>
          <w:lang w:eastAsia="zh-CN"/>
        </w:rPr>
        <w:t>园林设计、</w:t>
      </w:r>
      <w:r>
        <w:rPr>
          <w:rFonts w:hint="eastAsia" w:ascii="仿宋_GB2312" w:hAnsi="仿宋_GB2312" w:eastAsia="仿宋_GB2312" w:cs="仿宋_GB2312"/>
          <w:sz w:val="28"/>
          <w:szCs w:val="28"/>
          <w:highlight w:val="none"/>
        </w:rPr>
        <w:t>作物栽培和育种等专业基础和专业实验课程</w:t>
      </w:r>
      <w:r>
        <w:rPr>
          <w:rFonts w:hint="eastAsia" w:ascii="仿宋_GB2312" w:hAnsi="仿宋_GB2312" w:eastAsia="仿宋_GB2312" w:cs="仿宋_GB2312"/>
          <w:sz w:val="28"/>
          <w:szCs w:val="28"/>
          <w:highlight w:val="none"/>
          <w:lang w:val="en-US" w:eastAsia="zh-CN"/>
        </w:rPr>
        <w:t>51</w:t>
      </w:r>
      <w:r>
        <w:rPr>
          <w:rFonts w:hint="eastAsia" w:ascii="仿宋_GB2312" w:hAnsi="仿宋_GB2312" w:eastAsia="仿宋_GB2312" w:cs="仿宋_GB2312"/>
          <w:sz w:val="28"/>
          <w:szCs w:val="28"/>
          <w:highlight w:val="none"/>
        </w:rPr>
        <w:t xml:space="preserve">门，实验项目 </w:t>
      </w:r>
      <w:r>
        <w:rPr>
          <w:rFonts w:hint="eastAsia" w:ascii="仿宋_GB2312" w:hAnsi="仿宋_GB2312" w:eastAsia="仿宋_GB2312" w:cs="仿宋_GB2312"/>
          <w:sz w:val="28"/>
          <w:szCs w:val="28"/>
          <w:highlight w:val="none"/>
          <w:lang w:val="en-US" w:eastAsia="zh-CN"/>
        </w:rPr>
        <w:t>354</w:t>
      </w:r>
      <w:r>
        <w:rPr>
          <w:rFonts w:hint="eastAsia" w:ascii="仿宋_GB2312" w:hAnsi="仿宋_GB2312" w:eastAsia="仿宋_GB2312" w:cs="仿宋_GB2312"/>
          <w:sz w:val="28"/>
          <w:szCs w:val="28"/>
          <w:highlight w:val="none"/>
        </w:rPr>
        <w:t xml:space="preserve"> 个，其中综合、设计类项目占 </w:t>
      </w:r>
      <w:r>
        <w:rPr>
          <w:rFonts w:hint="eastAsia" w:ascii="仿宋_GB2312" w:hAnsi="仿宋_GB2312" w:eastAsia="仿宋_GB2312" w:cs="仿宋_GB2312"/>
          <w:sz w:val="28"/>
          <w:szCs w:val="28"/>
          <w:highlight w:val="none"/>
          <w:lang w:val="en-US" w:eastAsia="zh-CN"/>
        </w:rPr>
        <w:t>47.2</w:t>
      </w:r>
      <w:r>
        <w:rPr>
          <w:rFonts w:hint="eastAsia" w:ascii="仿宋_GB2312" w:hAnsi="仿宋_GB2312" w:eastAsia="仿宋_GB2312" w:cs="仿宋_GB2312"/>
          <w:sz w:val="28"/>
          <w:szCs w:val="28"/>
          <w:highlight w:val="none"/>
        </w:rPr>
        <w:t xml:space="preserve"> %，本年度实验教学达 </w:t>
      </w:r>
      <w:r>
        <w:rPr>
          <w:rFonts w:hint="eastAsia" w:ascii="仿宋_GB2312" w:hAnsi="仿宋_GB2312" w:eastAsia="仿宋_GB2312" w:cs="仿宋_GB2312"/>
          <w:sz w:val="28"/>
          <w:szCs w:val="28"/>
          <w:highlight w:val="none"/>
          <w:lang w:val="en-US" w:eastAsia="zh-CN"/>
        </w:rPr>
        <w:t>15</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787</w:t>
      </w:r>
      <w:r>
        <w:rPr>
          <w:rFonts w:hint="eastAsia" w:ascii="仿宋_GB2312" w:hAnsi="仿宋_GB2312" w:eastAsia="仿宋_GB2312" w:cs="仿宋_GB2312"/>
          <w:sz w:val="28"/>
          <w:szCs w:val="28"/>
          <w:highlight w:val="none"/>
        </w:rPr>
        <w:t xml:space="preserve"> 万人时数。</w:t>
      </w:r>
    </w:p>
    <w:p>
      <w:pPr>
        <w:ind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sz w:val="28"/>
          <w:szCs w:val="28"/>
        </w:rPr>
        <w:t>2.完成中心所在的农学院</w:t>
      </w:r>
      <w:r>
        <w:rPr>
          <w:rFonts w:hint="eastAsia" w:ascii="仿宋_GB2312" w:hAnsi="仿宋_GB2312" w:eastAsia="仿宋_GB2312" w:cs="仿宋_GB2312"/>
          <w:sz w:val="28"/>
          <w:szCs w:val="28"/>
          <w:lang w:val="en-US" w:eastAsia="zh-CN"/>
        </w:rPr>
        <w:t>2022届</w:t>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val="en-US" w:eastAsia="zh-CN"/>
        </w:rPr>
        <w:t>66</w:t>
      </w:r>
      <w:r>
        <w:rPr>
          <w:rFonts w:hint="eastAsia" w:ascii="仿宋_GB2312" w:hAnsi="仿宋_GB2312" w:eastAsia="仿宋_GB2312" w:cs="仿宋_GB2312"/>
          <w:sz w:val="28"/>
          <w:szCs w:val="28"/>
        </w:rPr>
        <w:t>人</w:t>
      </w:r>
      <w:r>
        <w:rPr>
          <w:rFonts w:hint="eastAsia" w:ascii="仿宋_GB2312" w:hAnsi="仿宋_GB2312" w:eastAsia="仿宋_GB2312" w:cs="仿宋_GB2312"/>
          <w:sz w:val="28"/>
          <w:szCs w:val="28"/>
          <w:lang w:eastAsia="zh-CN"/>
        </w:rPr>
        <w:t>（含农学专升本</w:t>
      </w:r>
      <w:r>
        <w:rPr>
          <w:rFonts w:hint="eastAsia" w:ascii="仿宋_GB2312" w:hAnsi="仿宋_GB2312" w:eastAsia="仿宋_GB2312" w:cs="仿宋_GB2312"/>
          <w:sz w:val="28"/>
          <w:szCs w:val="28"/>
          <w:lang w:val="en-US" w:eastAsia="zh-CN"/>
        </w:rPr>
        <w:t>65人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的本科毕业论文指导工作，论文优良率达到 8</w:t>
      </w:r>
      <w:r>
        <w:rPr>
          <w:rFonts w:hint="eastAsia" w:ascii="仿宋_GB2312" w:hAnsi="仿宋_GB2312" w:eastAsia="仿宋_GB2312" w:cs="仿宋_GB2312"/>
          <w:sz w:val="28"/>
          <w:szCs w:val="28"/>
          <w:lang w:val="en-US" w:eastAsia="zh-CN"/>
        </w:rPr>
        <w:t>5.8</w:t>
      </w:r>
      <w:r>
        <w:rPr>
          <w:rFonts w:hint="eastAsia" w:ascii="仿宋_GB2312" w:hAnsi="仿宋_GB2312" w:eastAsia="仿宋_GB2312" w:cs="仿宋_GB2312"/>
          <w:sz w:val="28"/>
          <w:szCs w:val="28"/>
        </w:rPr>
        <w:t xml:space="preserve"> %。</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3.中心所在的农学院20</w:t>
      </w:r>
      <w:r>
        <w:rPr>
          <w:rFonts w:hint="eastAsia" w:ascii="仿宋_GB2312" w:hAnsi="仿宋_GB2312" w:eastAsia="仿宋_GB2312" w:cs="仿宋_GB2312"/>
          <w:sz w:val="28"/>
          <w:szCs w:val="28"/>
          <w:lang w:val="en-US" w:eastAsia="zh-CN"/>
        </w:rPr>
        <w:t>22届</w:t>
      </w:r>
      <w:r>
        <w:rPr>
          <w:rFonts w:hint="eastAsia" w:ascii="仿宋_GB2312" w:hAnsi="仿宋_GB2312" w:eastAsia="仿宋_GB2312" w:cs="仿宋_GB2312"/>
          <w:sz w:val="28"/>
          <w:szCs w:val="28"/>
          <w:lang w:eastAsia="zh-CN"/>
        </w:rPr>
        <w:t>本科毕业生研究生考取率达44.9</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eastAsia="zh-CN"/>
        </w:rPr>
        <w:t>%，考</w:t>
      </w:r>
      <w:r>
        <w:rPr>
          <w:rFonts w:hint="eastAsia" w:ascii="仿宋_GB2312" w:hAnsi="仿宋_GB2312" w:eastAsia="仿宋_GB2312" w:cs="仿宋_GB2312"/>
          <w:sz w:val="28"/>
          <w:szCs w:val="28"/>
        </w:rPr>
        <w:t>研率创历史新高。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1"/>
          <w:vertAlign w:val="baseline"/>
          <w:lang w:val="en-US" w:eastAsia="zh-CN"/>
        </w:rPr>
      </w:pPr>
      <w:r>
        <w:rPr>
          <w:rFonts w:hint="eastAsia" w:ascii="仿宋_GB2312" w:hAnsi="仿宋_GB2312" w:eastAsia="仿宋_GB2312" w:cs="仿宋_GB2312"/>
          <w:sz w:val="28"/>
          <w:szCs w:val="28"/>
        </w:rPr>
        <w:t>4.</w:t>
      </w:r>
      <w:r>
        <w:rPr>
          <w:rFonts w:ascii="仿宋_GB2312" w:hAnsi="仿宋_GB2312" w:eastAsia="仿宋_GB2312" w:cs="仿宋_GB2312"/>
          <w:sz w:val="28"/>
          <w:szCs w:val="28"/>
        </w:rPr>
        <w:t xml:space="preserve"> </w:t>
      </w:r>
      <w:r>
        <w:rPr>
          <w:rFonts w:hint="eastAsia" w:ascii="仿宋" w:hAnsi="仿宋" w:eastAsia="仿宋" w:cs="仿宋"/>
          <w:sz w:val="28"/>
          <w:szCs w:val="28"/>
          <w:lang w:val="en-US" w:eastAsia="zh-CN"/>
        </w:rPr>
        <w:t>2022年农学院立项大学生创新创业训练计划项目26项，其中国家级11项，省级6项，校级9项，获批项目数、项目质量创历史新高！</w:t>
      </w:r>
    </w:p>
    <w:p>
      <w:pPr>
        <w:ind w:firstLine="560" w:firstLineChars="200"/>
        <w:rPr>
          <w:rFonts w:hint="eastAsia" w:ascii="仿宋" w:hAnsi="仿宋" w:eastAsia="仿宋" w:cs="仿宋"/>
          <w:sz w:val="28"/>
          <w:szCs w:val="28"/>
          <w:lang w:val="en-US" w:eastAsia="zh-CN"/>
        </w:rPr>
      </w:pPr>
      <w:r>
        <w:rPr>
          <w:rFonts w:hint="eastAsia" w:ascii="仿宋_GB2312" w:hAnsi="仿宋_GB2312" w:eastAsia="仿宋_GB2312" w:cs="仿宋_GB2312"/>
          <w:sz w:val="28"/>
          <w:szCs w:val="28"/>
        </w:rPr>
        <w:t>5.</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积极组织学生参加</w:t>
      </w:r>
      <w:r>
        <w:rPr>
          <w:rFonts w:hint="eastAsia" w:ascii="仿宋" w:hAnsi="仿宋" w:eastAsia="仿宋" w:cs="仿宋"/>
          <w:sz w:val="28"/>
          <w:szCs w:val="28"/>
          <w:lang w:val="en-US" w:eastAsia="zh-CN"/>
        </w:rPr>
        <w:t>第八届中国国际“互联网＋”大学生创新创业大赛，组织培训会5场，学生累计参加培训1500余人次。获得国家级银奖1项，国家级铜奖1项，省级金奖3项，银奖13项，铜奖4项的优异成绩，参加比赛项目数和获奖项目数位居全校前列。</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（二）人才培养成效评价等。</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心始终以社会需求为轴心，以质量保证规模，以科研推动教学，以改革促进发展，注重学生实践和创新能力的培养。通过实验教学改革，调动学生从事科研的兴趣，增强了学习主动性。许多学生从大一下学期开始就自主参加教师课题，申报大学生创新创业项目。大二下学期，所有学生必须进入导师课题组开展毕业论文和科研训练，一直到第八学期答辩，历时两年。在开展科学研究中，学生经历作物整个生长周期，科研活动中培养了学生服务现代农业的社会责任感，培养了吃苦耐劳精神，提升了学习、实践和创新能力，综合素质和科学素养普遍提高。</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通过向企事业用人单位发放调查问卷，对人才培养质量进行评价。调查内容涉及学生的专业理论知识，外语和计算机水平，实践、创新、组织管理、获取信息和应变能力，敬业、合作和开拓精神以及社会责任感等多方面内容。各高校、科研单位反映我们输送的考研生“综合素质好，基础扎实，技术技能全面，科研上手快，设计实验能力强”。用人单位评价毕业生“作风朴实、适应能力强和实践动手能力强，基础知识和专业技能扎实，创新能力强”。很多学生能快速适应垦区基层和其他企事业单位的管理和技术岗位，中心为现代化大农业发展培养了一大批德能兼备的高素质人才。</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二、人才队伍建设</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（一）队伍建设基本情况。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1.人员情况：</w:t>
      </w:r>
      <w:r>
        <w:rPr>
          <w:rFonts w:hint="eastAsia" w:ascii="仿宋_GB2312" w:hAnsi="仿宋_GB2312" w:eastAsia="仿宋_GB2312" w:cs="仿宋_GB2312"/>
          <w:sz w:val="28"/>
          <w:szCs w:val="28"/>
          <w:highlight w:val="none"/>
        </w:rPr>
        <w:t xml:space="preserve">中心现有固定人员 </w:t>
      </w:r>
      <w:r>
        <w:rPr>
          <w:rFonts w:hint="eastAsia" w:ascii="仿宋_GB2312" w:hAnsi="仿宋_GB2312" w:eastAsia="仿宋_GB2312" w:cs="仿宋_GB2312"/>
          <w:sz w:val="28"/>
          <w:szCs w:val="28"/>
          <w:highlight w:val="none"/>
          <w:lang w:val="en-US" w:eastAsia="zh-CN"/>
        </w:rPr>
        <w:t>102</w:t>
      </w:r>
      <w:r>
        <w:rPr>
          <w:rFonts w:hint="eastAsia" w:ascii="仿宋_GB2312" w:hAnsi="仿宋_GB2312" w:eastAsia="仿宋_GB2312" w:cs="仿宋_GB2312"/>
          <w:sz w:val="28"/>
          <w:szCs w:val="28"/>
          <w:highlight w:val="none"/>
        </w:rPr>
        <w:t xml:space="preserve"> 人，其中主任 1 人、副主任 1 人、管理人员</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 人</w:t>
      </w:r>
      <w:r>
        <w:rPr>
          <w:rFonts w:hint="eastAsia" w:ascii="仿宋_GB2312" w:hAnsi="仿宋_GB2312" w:eastAsia="仿宋_GB2312" w:cs="仿宋_GB2312"/>
          <w:sz w:val="28"/>
          <w:szCs w:val="28"/>
          <w:lang w:eastAsia="zh-CN"/>
        </w:rPr>
        <w:t>（含主任、副主任）</w:t>
      </w:r>
      <w:r>
        <w:rPr>
          <w:rFonts w:hint="eastAsia" w:ascii="仿宋_GB2312" w:hAnsi="仿宋_GB2312" w:eastAsia="仿宋_GB2312" w:cs="仿宋_GB2312"/>
          <w:sz w:val="28"/>
          <w:szCs w:val="28"/>
        </w:rPr>
        <w:t xml:space="preserve">、教学人员 </w:t>
      </w:r>
      <w:r>
        <w:rPr>
          <w:rFonts w:hint="eastAsia" w:ascii="仿宋_GB2312" w:hAnsi="仿宋_GB2312" w:eastAsia="仿宋_GB2312" w:cs="仿宋_GB2312"/>
          <w:sz w:val="28"/>
          <w:szCs w:val="28"/>
          <w:lang w:val="en-US" w:eastAsia="zh-CN"/>
        </w:rPr>
        <w:t>92</w:t>
      </w:r>
      <w:r>
        <w:rPr>
          <w:rFonts w:hint="eastAsia" w:ascii="仿宋_GB2312" w:hAnsi="仿宋_GB2312" w:eastAsia="仿宋_GB2312" w:cs="仿宋_GB2312"/>
          <w:sz w:val="28"/>
          <w:szCs w:val="28"/>
        </w:rPr>
        <w:t xml:space="preserve"> 人、技术人员</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 xml:space="preserve"> 人。</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2.职称结构：中心人员有教授 </w:t>
      </w:r>
      <w:r>
        <w:rPr>
          <w:rFonts w:hint="eastAsia" w:ascii="仿宋_GB2312" w:hAnsi="仿宋_GB2312" w:eastAsia="仿宋_GB2312" w:cs="仿宋_GB2312"/>
          <w:sz w:val="28"/>
          <w:szCs w:val="28"/>
          <w:lang w:val="en-US" w:eastAsia="zh-CN"/>
        </w:rPr>
        <w:t>35</w:t>
      </w:r>
      <w:r>
        <w:rPr>
          <w:rFonts w:hint="eastAsia" w:ascii="仿宋_GB2312" w:hAnsi="仿宋_GB2312" w:eastAsia="仿宋_GB2312" w:cs="仿宋_GB2312"/>
          <w:sz w:val="28"/>
          <w:szCs w:val="28"/>
        </w:rPr>
        <w:t xml:space="preserve"> 人，其中博导 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 xml:space="preserve"> 人；副教授、副研究员和高级实验师 3</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 xml:space="preserve"> 人、讲师、助理研究员和中级实验师 2</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 xml:space="preserve"> 人，初级实验师</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人。职称水平较高，结构合理。</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3.学历结构：中心人员中博士学历 </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9 人、硕士 2</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 xml:space="preserve"> 人，学士 1 人。博士化率达 </w:t>
      </w:r>
      <w:r>
        <w:rPr>
          <w:rFonts w:hint="eastAsia" w:ascii="仿宋_GB2312" w:hAnsi="仿宋_GB2312" w:eastAsia="仿宋_GB2312" w:cs="仿宋_GB2312"/>
          <w:sz w:val="28"/>
          <w:szCs w:val="28"/>
          <w:lang w:val="en-US" w:eastAsia="zh-CN"/>
        </w:rPr>
        <w:t>77.5</w:t>
      </w:r>
      <w:r>
        <w:rPr>
          <w:rFonts w:hint="eastAsia" w:ascii="仿宋_GB2312" w:hAnsi="仿宋_GB2312" w:eastAsia="仿宋_GB2312" w:cs="仿宋_GB2312"/>
          <w:sz w:val="28"/>
          <w:szCs w:val="28"/>
        </w:rPr>
        <w:t xml:space="preserve"> %，硕士以上达9</w:t>
      </w:r>
      <w:r>
        <w:rPr>
          <w:rFonts w:hint="eastAsia" w:ascii="仿宋_GB2312" w:hAnsi="仿宋_GB2312" w:eastAsia="仿宋_GB2312" w:cs="仿宋_GB2312"/>
          <w:sz w:val="28"/>
          <w:szCs w:val="28"/>
          <w:lang w:val="en-US" w:eastAsia="zh-CN"/>
        </w:rPr>
        <w:t>9.02</w:t>
      </w:r>
      <w:r>
        <w:rPr>
          <w:rFonts w:hint="eastAsia" w:ascii="仿宋_GB2312" w:hAnsi="仿宋_GB2312" w:eastAsia="仿宋_GB2312" w:cs="仿宋_GB2312"/>
          <w:sz w:val="28"/>
          <w:szCs w:val="28"/>
        </w:rPr>
        <w:t xml:space="preserve"> %，人员整体学历水平较高。</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4.年龄结构：中心人员中年龄&gt;50岁的 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 xml:space="preserve">人，40-49岁人员 </w:t>
      </w:r>
      <w:r>
        <w:rPr>
          <w:rFonts w:hint="eastAsia" w:ascii="仿宋_GB2312" w:hAnsi="仿宋_GB2312" w:eastAsia="仿宋_GB2312" w:cs="仿宋_GB2312"/>
          <w:sz w:val="28"/>
          <w:szCs w:val="28"/>
          <w:lang w:val="en-US" w:eastAsia="zh-CN"/>
        </w:rPr>
        <w:t>47</w:t>
      </w:r>
      <w:r>
        <w:rPr>
          <w:rFonts w:hint="eastAsia" w:ascii="仿宋_GB2312" w:hAnsi="仿宋_GB2312" w:eastAsia="仿宋_GB2312" w:cs="仿宋_GB2312"/>
          <w:sz w:val="28"/>
          <w:szCs w:val="28"/>
        </w:rPr>
        <w:t xml:space="preserve">人，&lt;40岁人员 </w:t>
      </w:r>
      <w:r>
        <w:rPr>
          <w:rFonts w:hint="eastAsia" w:ascii="仿宋_GB2312" w:hAnsi="仿宋_GB2312" w:eastAsia="仿宋_GB2312" w:cs="仿宋_GB2312"/>
          <w:sz w:val="28"/>
          <w:szCs w:val="28"/>
          <w:lang w:val="en-US" w:eastAsia="zh-CN"/>
        </w:rPr>
        <w:t>30</w:t>
      </w:r>
      <w:r>
        <w:rPr>
          <w:rFonts w:hint="eastAsia" w:ascii="仿宋_GB2312" w:hAnsi="仿宋_GB2312" w:eastAsia="仿宋_GB2312" w:cs="仿宋_GB2312"/>
          <w:sz w:val="28"/>
          <w:szCs w:val="28"/>
        </w:rPr>
        <w:t xml:space="preserve"> 人，年龄结构也比较合理。</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（二）队伍建设的举措与取得的成绩等。</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心积极拓宽与各高校、科研院所、行业企业交流途径，采取“外引与内培”相结合的方式，不断优化实践教学队伍，加强实验室内涵建设，建设与理论队伍互通，教学科研技术兼容，核心骨干相对稳定，年龄、职称、知识能力素质结构合理，实践教学经验丰富、熟悉本学科前沿技术、富有敬业和创新精神的实践教学队伍。</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校在教师培养培训方面出台了《黑龙江八一农垦大学教师培养培训管理办法》、《黑龙江八一农垦大学教师岗前培训办法》、《黑龙江八一农垦大学青年教师导师制实施办法》和《黑龙江八一农垦大学教师社会实践实施办法》等一系列制度，中心在执行学校各项规章制度同时，建立健全岗位责任制，制定了工作考核、安全管理、档案管理等制度。其中工作考核包括定期工作考评、年终考核、综合评价和评优等。建立实验教师队伍的考核奖励和退出机制，保证骨干力量相对稳定和队伍结构的动态平衡。</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参加校内外、学院和中心举办的实验教学和方法、大型仪器设备维护测试、功能开发与运行管理、实验室安全管理和建设等方面的业务培训，加强对实验教师和技术人员的职业素养和业务理论，保证实验中心每个教师都有至少1-2次的培训、实践学习机会。</w:t>
      </w:r>
    </w:p>
    <w:p>
      <w:pPr>
        <w:numPr>
          <w:ilvl w:val="0"/>
          <w:numId w:val="1"/>
        </w:numPr>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按照中心实验教师引进及培养计划，通过人才引进、攻读学位、国内外进修访问交流以及社会实践等形式，加强教师的培训学习，组织教师</w:t>
      </w:r>
      <w:r>
        <w:rPr>
          <w:rFonts w:hint="eastAsia" w:ascii="仿宋_GB2312" w:hAnsi="仿宋_GB2312" w:eastAsia="仿宋_GB2312" w:cs="仿宋_GB2312"/>
          <w:sz w:val="28"/>
          <w:szCs w:val="28"/>
          <w:lang w:eastAsia="zh-CN"/>
        </w:rPr>
        <w:t>线上</w:t>
      </w:r>
      <w:r>
        <w:rPr>
          <w:rFonts w:hint="eastAsia" w:ascii="仿宋_GB2312" w:hAnsi="仿宋_GB2312" w:eastAsia="仿宋_GB2312" w:cs="仿宋_GB2312"/>
          <w:sz w:val="28"/>
          <w:szCs w:val="28"/>
        </w:rPr>
        <w:t>学习、交流、培训</w:t>
      </w:r>
      <w:r>
        <w:rPr>
          <w:rFonts w:hint="eastAsia" w:ascii="仿宋_GB2312" w:hAnsi="仿宋_GB2312" w:eastAsia="仿宋_GB2312" w:cs="仿宋_GB2312"/>
          <w:sz w:val="28"/>
          <w:szCs w:val="28"/>
          <w:highlight w:val="none"/>
        </w:rPr>
        <w:t>累计</w:t>
      </w:r>
      <w:r>
        <w:rPr>
          <w:rFonts w:hint="eastAsia" w:ascii="仿宋_GB2312" w:hAnsi="仿宋_GB2312" w:eastAsia="仿宋_GB2312" w:cs="仿宋_GB2312"/>
          <w:sz w:val="28"/>
          <w:szCs w:val="28"/>
          <w:highlight w:val="none"/>
          <w:lang w:val="en-US" w:eastAsia="zh-CN"/>
        </w:rPr>
        <w:t>100</w:t>
      </w:r>
      <w:r>
        <w:rPr>
          <w:rFonts w:hint="eastAsia" w:ascii="仿宋_GB2312" w:hAnsi="仿宋_GB2312" w:eastAsia="仿宋_GB2312" w:cs="仿宋_GB2312"/>
          <w:sz w:val="28"/>
          <w:szCs w:val="28"/>
          <w:highlight w:val="none"/>
        </w:rPr>
        <w:t>余人次，</w:t>
      </w:r>
      <w:r>
        <w:rPr>
          <w:rFonts w:hint="eastAsia" w:ascii="仿宋_GB2312" w:hAnsi="仿宋_GB2312" w:eastAsia="仿宋_GB2312" w:cs="仿宋_GB2312"/>
          <w:sz w:val="28"/>
          <w:szCs w:val="28"/>
        </w:rPr>
        <w:t>教师能力明显提升。</w:t>
      </w:r>
      <w:r>
        <w:rPr>
          <w:rFonts w:hint="eastAsia" w:ascii="仿宋_GB2312" w:hAnsi="仿宋_GB2312" w:eastAsia="仿宋_GB2312" w:cs="仿宋_GB2312"/>
          <w:sz w:val="28"/>
          <w:szCs w:val="28"/>
          <w:lang w:eastAsia="zh-CN"/>
        </w:rPr>
        <w:t>教师参加黑龙江省教学创新大赛，</w:t>
      </w:r>
      <w:r>
        <w:rPr>
          <w:rFonts w:hint="eastAsia" w:ascii="仿宋_GB2312" w:hAnsi="仿宋_GB2312" w:eastAsia="仿宋_GB2312" w:cs="仿宋_GB2312"/>
          <w:sz w:val="28"/>
          <w:szCs w:val="28"/>
        </w:rPr>
        <w:t>获得二等奖</w:t>
      </w:r>
      <w:r>
        <w:rPr>
          <w:rFonts w:hint="eastAsia" w:ascii="仿宋_GB2312" w:hAnsi="仿宋_GB2312" w:eastAsia="仿宋_GB2312" w:cs="仿宋_GB2312"/>
          <w:sz w:val="28"/>
          <w:szCs w:val="28"/>
          <w:lang w:val="en-US" w:eastAsia="zh-CN"/>
        </w:rPr>
        <w:t>1项</w:t>
      </w:r>
      <w:r>
        <w:rPr>
          <w:rFonts w:hint="eastAsia" w:ascii="仿宋_GB2312" w:hAnsi="仿宋_GB2312" w:eastAsia="仿宋_GB2312" w:cs="仿宋_GB2312"/>
          <w:sz w:val="28"/>
          <w:szCs w:val="28"/>
        </w:rPr>
        <w:t>，三等奖</w:t>
      </w:r>
      <w:r>
        <w:rPr>
          <w:rFonts w:hint="eastAsia" w:ascii="仿宋_GB2312" w:hAnsi="仿宋_GB2312" w:eastAsia="仿宋_GB2312" w:cs="仿宋_GB2312"/>
          <w:sz w:val="28"/>
          <w:szCs w:val="28"/>
          <w:lang w:val="en-US" w:eastAsia="zh-CN"/>
        </w:rPr>
        <w:t>1项</w:t>
      </w:r>
      <w:r>
        <w:rPr>
          <w:rFonts w:hint="eastAsia" w:ascii="仿宋_GB2312" w:hAnsi="仿宋_GB2312" w:eastAsia="仿宋_GB2312" w:cs="仿宋_GB2312"/>
          <w:sz w:val="28"/>
          <w:szCs w:val="28"/>
          <w:lang w:eastAsia="zh-CN"/>
        </w:rPr>
        <w:t>；参加</w:t>
      </w:r>
      <w:r>
        <w:rPr>
          <w:rFonts w:hint="eastAsia" w:ascii="仿宋_GB2312" w:hAnsi="仿宋_GB2312" w:eastAsia="仿宋_GB2312" w:cs="仿宋_GB2312"/>
          <w:sz w:val="28"/>
          <w:szCs w:val="28"/>
          <w:lang w:val="en-US" w:eastAsia="zh-CN"/>
        </w:rPr>
        <w:t>全国“智慧树杯”课程思政教学大赛获得特等奖和二等奖各1项。</w:t>
      </w:r>
      <w:r>
        <w:rPr>
          <w:rFonts w:hint="eastAsia" w:ascii="仿宋_GB2312" w:hAnsi="仿宋_GB2312" w:eastAsia="仿宋_GB2312" w:cs="仿宋_GB2312"/>
          <w:sz w:val="28"/>
          <w:szCs w:val="28"/>
        </w:rPr>
        <w:t>《植物营养学》《农田杂草防除学》等2 门课程获批“黑龙江省课程思政示范课”；《土壤学》获得省课程思政优秀案例；获省多媒体课件制作大赛二等奖1项；获批校级“北大荒精神育人”课程思政项目3项，4门线上线下混合课程和3门课程思政示范课程通过学校验收。20</w:t>
      </w: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年引进博士教师</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人。</w:t>
      </w:r>
      <w:r>
        <w:rPr>
          <w:rFonts w:hint="eastAsia"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eastAsia="zh-CN"/>
        </w:rPr>
        <w:t>因为疫情组织教师参加多场线上学术会议，</w:t>
      </w:r>
      <w:r>
        <w:rPr>
          <w:rFonts w:hint="eastAsia" w:ascii="仿宋_GB2312" w:hAnsi="仿宋_GB2312" w:eastAsia="仿宋_GB2312" w:cs="仿宋_GB2312"/>
          <w:sz w:val="28"/>
          <w:szCs w:val="28"/>
          <w:highlight w:val="none"/>
        </w:rPr>
        <w:t xml:space="preserve">在国内学术会议上做专题报告 </w:t>
      </w: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 xml:space="preserve"> 人次。 </w:t>
      </w:r>
    </w:p>
    <w:p>
      <w:pPr>
        <w:numPr>
          <w:ilvl w:val="0"/>
          <w:numId w:val="0"/>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rPr>
        <w:t>实行青年教师导师制，由经验丰富的老教师对新教师进行“传、帮、带”，促进青年教师教学实验水平的提高，并组建课程团队，建立课程组负责人制度，积极开展教学改革、科学研究和社会服务，以利于提升中心实验教师队伍的实践水平和能力。</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三、教学改革与科学研究</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（一）教学改革立项、进展、完成等情况。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1.目前在研省教育厅教改项目 </w:t>
      </w: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rPr>
        <w:t xml:space="preserve"> 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rPr>
        <w:t xml:space="preserve">年立项 </w:t>
      </w: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rPr>
        <w:t xml:space="preserve"> 项</w:t>
      </w:r>
      <w:r>
        <w:rPr>
          <w:rFonts w:hint="eastAsia" w:ascii="仿宋_GB2312" w:hAnsi="仿宋_GB2312" w:eastAsia="仿宋_GB2312" w:cs="仿宋_GB2312"/>
          <w:sz w:val="28"/>
          <w:szCs w:val="28"/>
          <w:lang w:eastAsia="zh-CN"/>
        </w:rPr>
        <w:t>（结题</w:t>
      </w:r>
      <w:r>
        <w:rPr>
          <w:rFonts w:hint="eastAsia" w:ascii="仿宋_GB2312" w:hAnsi="仿宋_GB2312" w:eastAsia="仿宋_GB2312" w:cs="仿宋_GB2312"/>
          <w:sz w:val="28"/>
          <w:szCs w:val="28"/>
          <w:lang w:val="en-US" w:eastAsia="zh-CN"/>
        </w:rPr>
        <w:t>2项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 xml:space="preserve">年立项 </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 xml:space="preserve"> 项。</w:t>
      </w:r>
    </w:p>
    <w:p>
      <w:pPr>
        <w:ind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sz w:val="28"/>
          <w:szCs w:val="28"/>
        </w:rPr>
        <w:t>2.20</w:t>
      </w: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rPr>
        <w:t>年立项</w:t>
      </w:r>
      <w:r>
        <w:rPr>
          <w:rFonts w:hint="eastAsia" w:ascii="仿宋_GB2312" w:hAnsi="仿宋_GB2312" w:eastAsia="仿宋_GB2312" w:cs="仿宋_GB2312"/>
          <w:sz w:val="28"/>
          <w:szCs w:val="28"/>
          <w:lang w:eastAsia="zh-CN"/>
        </w:rPr>
        <w:t>校级教研课题</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项，202</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年立项</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项</w:t>
      </w:r>
      <w:r>
        <w:rPr>
          <w:rFonts w:hint="eastAsia" w:ascii="仿宋_GB2312" w:hAnsi="仿宋_GB2312" w:eastAsia="仿宋_GB2312" w:cs="仿宋_GB2312"/>
          <w:sz w:val="28"/>
          <w:szCs w:val="28"/>
          <w:lang w:eastAsia="zh-CN"/>
        </w:rPr>
        <w:t>，结题</w:t>
      </w:r>
      <w:r>
        <w:rPr>
          <w:rFonts w:hint="eastAsia" w:ascii="仿宋_GB2312" w:hAnsi="仿宋_GB2312" w:eastAsia="仿宋_GB2312" w:cs="仿宋_GB2312"/>
          <w:sz w:val="28"/>
          <w:szCs w:val="28"/>
          <w:lang w:val="en-US" w:eastAsia="zh-CN"/>
        </w:rPr>
        <w:t>5项，目前</w:t>
      </w:r>
      <w:r>
        <w:rPr>
          <w:rFonts w:hint="eastAsia" w:ascii="仿宋_GB2312" w:hAnsi="仿宋_GB2312" w:eastAsia="仿宋_GB2312" w:cs="仿宋_GB2312"/>
          <w:sz w:val="28"/>
          <w:szCs w:val="28"/>
        </w:rPr>
        <w:t>在研校级教改项</w:t>
      </w:r>
      <w:r>
        <w:rPr>
          <w:rFonts w:hint="eastAsia" w:ascii="仿宋_GB2312" w:hAnsi="仿宋_GB2312" w:eastAsia="仿宋_GB2312" w:cs="仿宋_GB2312"/>
          <w:sz w:val="28"/>
          <w:szCs w:val="28"/>
          <w:highlight w:val="none"/>
        </w:rPr>
        <w:t>目8</w:t>
      </w:r>
      <w:r>
        <w:rPr>
          <w:rFonts w:hint="eastAsia" w:ascii="仿宋_GB2312" w:hAnsi="仿宋_GB2312" w:eastAsia="仿宋_GB2312" w:cs="仿宋_GB2312"/>
          <w:sz w:val="28"/>
          <w:szCs w:val="28"/>
        </w:rPr>
        <w:t>项。</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3.发表教研论文</w:t>
      </w:r>
      <w:r>
        <w:rPr>
          <w:rFonts w:hint="eastAsia" w:ascii="仿宋_GB2312" w:hAnsi="仿宋_GB2312" w:eastAsia="仿宋_GB2312" w:cs="仿宋_GB2312"/>
          <w:sz w:val="28"/>
          <w:szCs w:val="28"/>
          <w:highlight w:val="none"/>
          <w:lang w:val="en-US" w:eastAsia="zh-CN"/>
        </w:rPr>
        <w:t>22</w:t>
      </w:r>
      <w:r>
        <w:rPr>
          <w:rFonts w:hint="eastAsia" w:ascii="仿宋_GB2312" w:hAnsi="仿宋_GB2312" w:eastAsia="仿宋_GB2312" w:cs="仿宋_GB2312"/>
          <w:sz w:val="28"/>
          <w:szCs w:val="28"/>
        </w:rPr>
        <w:t>篇。</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4.获</w:t>
      </w:r>
      <w:r>
        <w:rPr>
          <w:rFonts w:hint="eastAsia" w:ascii="仿宋_GB2312" w:hAnsi="仿宋_GB2312" w:eastAsia="仿宋_GB2312" w:cs="仿宋_GB2312"/>
          <w:sz w:val="28"/>
          <w:szCs w:val="28"/>
          <w:lang w:eastAsia="zh-CN"/>
        </w:rPr>
        <w:t>省</w:t>
      </w:r>
      <w:r>
        <w:rPr>
          <w:rFonts w:hint="eastAsia" w:ascii="仿宋_GB2312" w:hAnsi="仿宋_GB2312" w:eastAsia="仿宋_GB2312" w:cs="仿宋_GB2312"/>
          <w:sz w:val="28"/>
          <w:szCs w:val="28"/>
        </w:rPr>
        <w:t>级教学成果</w:t>
      </w:r>
      <w:r>
        <w:rPr>
          <w:rFonts w:hint="eastAsia" w:ascii="仿宋_GB2312" w:hAnsi="仿宋_GB2312" w:eastAsia="仿宋_GB2312" w:cs="仿宋_GB2312"/>
          <w:sz w:val="28"/>
          <w:szCs w:val="28"/>
          <w:lang w:eastAsia="zh-CN"/>
        </w:rPr>
        <w:t>二</w:t>
      </w:r>
      <w:r>
        <w:rPr>
          <w:rFonts w:hint="eastAsia" w:ascii="仿宋_GB2312" w:hAnsi="仿宋_GB2312" w:eastAsia="仿宋_GB2312" w:cs="仿宋_GB2312"/>
          <w:sz w:val="28"/>
          <w:szCs w:val="28"/>
        </w:rPr>
        <w:t>等奖1项。</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（二）202</w:t>
      </w:r>
      <w:r>
        <w:rPr>
          <w:rFonts w:hint="eastAsia" w:ascii="楷体" w:hAnsi="楷体" w:eastAsia="楷体" w:cs="仿宋_GB2312"/>
          <w:sz w:val="28"/>
          <w:szCs w:val="28"/>
          <w:lang w:val="en-US" w:eastAsia="zh-CN"/>
        </w:rPr>
        <w:t>2</w:t>
      </w:r>
      <w:r>
        <w:rPr>
          <w:rFonts w:hint="eastAsia" w:ascii="楷体" w:hAnsi="楷体" w:eastAsia="楷体" w:cs="仿宋_GB2312"/>
          <w:sz w:val="28"/>
          <w:szCs w:val="28"/>
        </w:rPr>
        <w:t>年度科学研究等情况。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紧盯国家农业发展主线，牢牢把握新发展战略，重点在“生物育种”“黑土保护”“绿色低碳”及“盐碱地”方面开展相关工作。获批国家级科研项目1项，省级以上科研项目7项，省、市地方标准制定修订项目4项，其它各类科研项目30余项。</w:t>
      </w:r>
      <w:r>
        <w:rPr>
          <w:rFonts w:hint="eastAsia" w:ascii="仿宋_GB2312" w:hAnsi="仿宋_GB2312" w:eastAsia="仿宋_GB2312" w:cs="仿宋_GB2312"/>
          <w:sz w:val="28"/>
          <w:szCs w:val="28"/>
          <w:lang w:eastAsia="zh-CN"/>
        </w:rPr>
        <w:t>教师</w:t>
      </w:r>
      <w:r>
        <w:rPr>
          <w:rFonts w:hint="eastAsia" w:ascii="仿宋_GB2312" w:hAnsi="仿宋_GB2312" w:eastAsia="仿宋_GB2312" w:cs="仿宋_GB2312"/>
          <w:sz w:val="28"/>
          <w:szCs w:val="28"/>
        </w:rPr>
        <w:t>发表SCI论文</w:t>
      </w:r>
      <w:r>
        <w:rPr>
          <w:rFonts w:hint="eastAsia" w:ascii="仿宋_GB2312" w:hAnsi="仿宋_GB2312" w:eastAsia="仿宋_GB2312" w:cs="仿宋_GB2312"/>
          <w:sz w:val="28"/>
          <w:szCs w:val="28"/>
          <w:lang w:val="en-US" w:eastAsia="zh-CN"/>
        </w:rPr>
        <w:t>50余</w:t>
      </w:r>
      <w:r>
        <w:rPr>
          <w:rFonts w:hint="eastAsia" w:ascii="仿宋_GB2312" w:hAnsi="仿宋_GB2312" w:eastAsia="仿宋_GB2312" w:cs="仿宋_GB2312"/>
          <w:sz w:val="28"/>
          <w:szCs w:val="28"/>
        </w:rPr>
        <w:t>篇</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审定马铃薯新品种1个；获批专利13项；到账科研总经费1200余万元，其中横向课题到账经费210万元。</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四、信息化建设、开放运行和示范辐射</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（一）信息化资源、平台建设，人员信息化能力提升等情况。</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中心一直重视信息化建设，依托校园网络系统，建立了中心管理网络信息平台，并积极利用网络资源，推动信息化教育，为教师教学和学生自主学习提供了高效的实践教学互动平台。加强对中心人员的信息化能力培训，积极打造五类“金课”建设，建设虚拟仿真实验课程2门。</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（二）开放运行、安全运行等情况。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中心实行开放运行管理，制定实验室开放制度，向全校师生及社会人员开放。课内实验以学生团体形式预约进入开放实验室，并做好实验记录的登记；课外实验则以学生自选课题、参与教师科研任务和完成毕业论文课题等方式由学生填写开放实验申请表，经实验中心同意后即可进入开放实验室开展实验。同时，中心网站还提供了实验预约、精密仪器设备预约和网上选课功能。学生可以在网站里对一些实验多媒体课件、实验视频及实验项目进行在线学习，同时也可在互动平台与老师进行讨论与交流。</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中心严格按照教育部和黑龙江八一农垦大学实验室安全管理制度进行管理。经常性的对实验室工作人员及学生进行安全教育。每个实验室设安全员，责任到人，负责日常安全检查。对易燃、易爆、有毒、有害的化学试剂设有危险品仓库，设专人管理。坚持每年与实验室管理人员签订安全责任书，坚持各实验室实验技术人员安全自查、节假日中心集中安全检查制度，如有问题及时整改。制订了实验室污水、有害气体、固体废弃物分类处理的相关规定并严格执行。中心各实验室设施维护、运行良好，为师生提供了优良的实验教学环境。</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（三）对外交流合作、发挥示范引领、支持中西部高校实验教学改革等情况。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1.并邀请国内外知名专家学者开展学术报告会累计20场次。</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2.中心人员深入农垦和地方开展形式多样的科技服务活动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积极支持国家的“第三次土壤普查”工作，派出省级专家7名，组建调查采样队1个。组建技术服务咨询团队13个，派出省级科技特派员9人；开展形式多样的技术指导、培训累计达4000多人次。完成农技人才培训任务</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次，共计培训学员2</w:t>
      </w:r>
      <w:r>
        <w:rPr>
          <w:rFonts w:hint="eastAsia" w:ascii="仿宋_GB2312" w:hAnsi="仿宋_GB2312" w:eastAsia="仿宋_GB2312" w:cs="仿宋_GB2312"/>
          <w:sz w:val="28"/>
          <w:szCs w:val="28"/>
          <w:lang w:val="en-US" w:eastAsia="zh-CN"/>
        </w:rPr>
        <w:t>55</w:t>
      </w:r>
      <w:r>
        <w:rPr>
          <w:rFonts w:hint="eastAsia" w:ascii="仿宋_GB2312" w:hAnsi="仿宋_GB2312" w:eastAsia="仿宋_GB2312" w:cs="仿宋_GB2312"/>
          <w:sz w:val="28"/>
          <w:szCs w:val="28"/>
        </w:rPr>
        <w:t>人。</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3.因受疫情影响，今年</w:t>
      </w:r>
      <w:r>
        <w:rPr>
          <w:rFonts w:hint="eastAsia" w:ascii="仿宋_GB2312" w:hAnsi="仿宋_GB2312" w:eastAsia="仿宋_GB2312" w:cs="仿宋_GB2312"/>
          <w:sz w:val="28"/>
          <w:szCs w:val="28"/>
          <w:lang w:eastAsia="zh-CN"/>
        </w:rPr>
        <w:t>中心</w:t>
      </w:r>
      <w:r>
        <w:rPr>
          <w:rFonts w:hint="eastAsia" w:ascii="仿宋_GB2312" w:hAnsi="仿宋_GB2312" w:eastAsia="仿宋_GB2312" w:cs="仿宋_GB2312"/>
          <w:sz w:val="28"/>
          <w:szCs w:val="28"/>
        </w:rPr>
        <w:t>未举办“高考校园开放日”活动及新生开学，家长参观等活动。</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4.大豆育种团队培育的“垦农34”以亩产311.2公斤的记录，创造了黑龙江省高寒地区旱作大豆百亩攻关田的历史新高。</w:t>
      </w:r>
    </w:p>
    <w:p>
      <w:p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中心教师开展社会服务工作先后被新华社、学习强国平台及省市校各级媒体报道50余次，社会反响强烈。</w:t>
      </w:r>
    </w:p>
    <w:p>
      <w:pPr>
        <w:ind w:firstLine="560" w:firstLineChars="200"/>
        <w:rPr>
          <w:rFonts w:ascii="黑体" w:hAnsi="黑体" w:eastAsia="黑体" w:cs="仿宋_GB2312"/>
          <w:color w:val="000000"/>
          <w:sz w:val="28"/>
          <w:szCs w:val="28"/>
        </w:rPr>
      </w:pPr>
      <w:r>
        <w:rPr>
          <w:rFonts w:hint="eastAsia" w:ascii="黑体" w:hAnsi="黑体" w:eastAsia="黑体" w:cs="仿宋_GB2312"/>
          <w:sz w:val="28"/>
          <w:szCs w:val="28"/>
        </w:rPr>
        <w:t>五、</w:t>
      </w:r>
      <w:r>
        <w:rPr>
          <w:rFonts w:hint="eastAsia" w:ascii="黑体" w:hAnsi="黑体" w:eastAsia="黑体" w:cs="仿宋_GB2312"/>
          <w:color w:val="000000"/>
          <w:sz w:val="28"/>
          <w:szCs w:val="28"/>
        </w:rPr>
        <w:t>示范中心大事记</w:t>
      </w:r>
    </w:p>
    <w:p>
      <w:pPr>
        <w:ind w:firstLine="560" w:firstLineChars="200"/>
        <w:rPr>
          <w:rFonts w:ascii="楷体" w:hAnsi="楷体" w:eastAsia="楷体" w:cs="仿宋_GB2312"/>
          <w:color w:val="000000"/>
          <w:sz w:val="28"/>
          <w:szCs w:val="28"/>
        </w:rPr>
      </w:pPr>
      <w:r>
        <w:rPr>
          <w:rFonts w:hint="eastAsia" w:ascii="楷体" w:hAnsi="楷体" w:eastAsia="楷体" w:cs="仿宋_GB2312"/>
          <w:color w:val="000000"/>
          <w:sz w:val="28"/>
          <w:szCs w:val="28"/>
        </w:rPr>
        <w:t>（一）有关媒体对示范中心的重要评价，附相应文字和图片资料。</w:t>
      </w:r>
    </w:p>
    <w:p>
      <w:pPr>
        <w:rPr>
          <w:rFonts w:ascii="楷体" w:hAnsi="楷体" w:eastAsia="楷体" w:cs="仿宋_GB2312"/>
          <w:color w:val="000000"/>
          <w:sz w:val="28"/>
          <w:szCs w:val="28"/>
        </w:rPr>
      </w:pPr>
      <w:r>
        <w:drawing>
          <wp:inline distT="0" distB="0" distL="114300" distR="114300">
            <wp:extent cx="2327910" cy="5963285"/>
            <wp:effectExtent l="0" t="0" r="1524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9205" b="12108"/>
                    <a:stretch>
                      <a:fillRect/>
                    </a:stretch>
                  </pic:blipFill>
                  <pic:spPr>
                    <a:xfrm>
                      <a:off x="0" y="0"/>
                      <a:ext cx="2327910" cy="59632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72080" cy="5882005"/>
            <wp:effectExtent l="0" t="0" r="139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b="7549"/>
                    <a:stretch>
                      <a:fillRect/>
                    </a:stretch>
                  </pic:blipFill>
                  <pic:spPr>
                    <a:xfrm>
                      <a:off x="0" y="0"/>
                      <a:ext cx="2672080" cy="5882005"/>
                    </a:xfrm>
                    <a:prstGeom prst="rect">
                      <a:avLst/>
                    </a:prstGeom>
                    <a:noFill/>
                    <a:ln>
                      <a:noFill/>
                    </a:ln>
                  </pic:spPr>
                </pic:pic>
              </a:graphicData>
            </a:graphic>
          </wp:inline>
        </w:drawing>
      </w:r>
    </w:p>
    <w:p>
      <w:pPr>
        <w:jc w:val="left"/>
      </w:pPr>
      <w:r>
        <w:drawing>
          <wp:inline distT="0" distB="0" distL="114300" distR="114300">
            <wp:extent cx="2419350" cy="4221480"/>
            <wp:effectExtent l="0" t="0" r="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rcRect t="19128"/>
                    <a:stretch>
                      <a:fillRect/>
                    </a:stretch>
                  </pic:blipFill>
                  <pic:spPr>
                    <a:xfrm>
                      <a:off x="0" y="0"/>
                      <a:ext cx="2419350" cy="42214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61260" cy="4292600"/>
            <wp:effectExtent l="0" t="0" r="1524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rcRect t="13400"/>
                    <a:stretch>
                      <a:fillRect/>
                    </a:stretch>
                  </pic:blipFill>
                  <pic:spPr>
                    <a:xfrm>
                      <a:off x="0" y="0"/>
                      <a:ext cx="2461260" cy="4292600"/>
                    </a:xfrm>
                    <a:prstGeom prst="rect">
                      <a:avLst/>
                    </a:prstGeom>
                    <a:noFill/>
                    <a:ln>
                      <a:noFill/>
                    </a:ln>
                  </pic:spPr>
                </pic:pic>
              </a:graphicData>
            </a:graphic>
          </wp:inline>
        </w:drawing>
      </w:r>
    </w:p>
    <w:p>
      <w:pPr>
        <w:jc w:val="left"/>
      </w:pPr>
    </w:p>
    <w:p>
      <w:pPr>
        <w:jc w:val="left"/>
      </w:pPr>
      <w:r>
        <w:drawing>
          <wp:inline distT="0" distB="0" distL="114300" distR="114300">
            <wp:extent cx="2733675" cy="39719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2733675" cy="39719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34260" cy="3982085"/>
            <wp:effectExtent l="0" t="0" r="8890" b="184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rcRect b="14026"/>
                    <a:stretch>
                      <a:fillRect/>
                    </a:stretch>
                  </pic:blipFill>
                  <pic:spPr>
                    <a:xfrm>
                      <a:off x="0" y="0"/>
                      <a:ext cx="2334260" cy="3982085"/>
                    </a:xfrm>
                    <a:prstGeom prst="rect">
                      <a:avLst/>
                    </a:prstGeom>
                    <a:noFill/>
                    <a:ln>
                      <a:noFill/>
                    </a:ln>
                  </pic:spPr>
                </pic:pic>
              </a:graphicData>
            </a:graphic>
          </wp:inline>
        </w:drawing>
      </w:r>
    </w:p>
    <w:p>
      <w:pPr>
        <w:jc w:val="left"/>
      </w:pPr>
      <w:r>
        <w:drawing>
          <wp:inline distT="0" distB="0" distL="114300" distR="114300">
            <wp:extent cx="2475865" cy="4937125"/>
            <wp:effectExtent l="0" t="0" r="635"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rcRect b="12805"/>
                    <a:stretch>
                      <a:fillRect/>
                    </a:stretch>
                  </pic:blipFill>
                  <pic:spPr>
                    <a:xfrm>
                      <a:off x="0" y="0"/>
                      <a:ext cx="2475865" cy="49371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76500" cy="4951095"/>
            <wp:effectExtent l="0" t="0" r="0"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rcRect b="8714"/>
                    <a:stretch>
                      <a:fillRect/>
                    </a:stretch>
                  </pic:blipFill>
                  <pic:spPr>
                    <a:xfrm>
                      <a:off x="0" y="0"/>
                      <a:ext cx="2476500" cy="4951095"/>
                    </a:xfrm>
                    <a:prstGeom prst="rect">
                      <a:avLst/>
                    </a:prstGeom>
                    <a:noFill/>
                    <a:ln>
                      <a:noFill/>
                    </a:ln>
                  </pic:spPr>
                </pic:pic>
              </a:graphicData>
            </a:graphic>
          </wp:inline>
        </w:drawing>
      </w:r>
    </w:p>
    <w:p>
      <w:pPr>
        <w:jc w:val="left"/>
      </w:pPr>
    </w:p>
    <w:p>
      <w:pPr>
        <w:jc w:val="left"/>
      </w:pPr>
      <w:r>
        <w:drawing>
          <wp:inline distT="0" distB="0" distL="114300" distR="114300">
            <wp:extent cx="5267960" cy="3326130"/>
            <wp:effectExtent l="0" t="0" r="889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960" cy="3326130"/>
                    </a:xfrm>
                    <a:prstGeom prst="rect">
                      <a:avLst/>
                    </a:prstGeom>
                    <a:noFill/>
                    <a:ln>
                      <a:noFill/>
                    </a:ln>
                  </pic:spPr>
                </pic:pic>
              </a:graphicData>
            </a:graphic>
          </wp:inline>
        </w:drawing>
      </w:r>
    </w:p>
    <w:p>
      <w:pPr>
        <w:jc w:val="left"/>
        <w:rPr>
          <w:rFonts w:hint="eastAsia"/>
          <w:lang w:val="en-US" w:eastAsia="zh-CN"/>
        </w:rPr>
      </w:pPr>
    </w:p>
    <w:p>
      <w:pPr>
        <w:jc w:val="left"/>
        <w:rPr>
          <w:rFonts w:hint="eastAsia" w:ascii="黑体" w:hAnsi="黑体" w:eastAsia="黑体" w:cs="仿宋_GB2312"/>
          <w:sz w:val="28"/>
          <w:szCs w:val="28"/>
          <w:lang w:eastAsia="zh-CN"/>
        </w:rPr>
      </w:pPr>
      <w:r>
        <w:rPr>
          <w:rFonts w:hint="eastAsia" w:ascii="黑体" w:hAnsi="黑体" w:eastAsia="黑体" w:cs="仿宋_GB2312"/>
          <w:sz w:val="28"/>
          <w:szCs w:val="28"/>
          <w:lang w:eastAsia="zh-CN"/>
        </w:rPr>
        <w:drawing>
          <wp:inline distT="0" distB="0" distL="114300" distR="114300">
            <wp:extent cx="5264785" cy="2823210"/>
            <wp:effectExtent l="0" t="0" r="12065" b="1524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4"/>
                    <a:stretch>
                      <a:fillRect/>
                    </a:stretch>
                  </pic:blipFill>
                  <pic:spPr>
                    <a:xfrm>
                      <a:off x="0" y="0"/>
                      <a:ext cx="5264785" cy="2823210"/>
                    </a:xfrm>
                    <a:prstGeom prst="rect">
                      <a:avLst/>
                    </a:prstGeom>
                  </pic:spPr>
                </pic:pic>
              </a:graphicData>
            </a:graphic>
          </wp:inline>
        </w:drawing>
      </w:r>
    </w:p>
    <w:p>
      <w:pPr>
        <w:jc w:val="left"/>
        <w:rPr>
          <w:rFonts w:hint="eastAsia" w:ascii="黑体" w:hAnsi="黑体" w:eastAsia="黑体" w:cs="仿宋_GB2312"/>
          <w:sz w:val="28"/>
          <w:szCs w:val="28"/>
          <w:lang w:eastAsia="zh-CN"/>
        </w:rPr>
      </w:pPr>
      <w:r>
        <w:rPr>
          <w:rFonts w:hint="eastAsia" w:ascii="黑体" w:hAnsi="黑体" w:eastAsia="黑体" w:cs="仿宋_GB2312"/>
          <w:sz w:val="28"/>
          <w:szCs w:val="28"/>
          <w:lang w:eastAsia="zh-CN"/>
        </w:rPr>
        <w:drawing>
          <wp:inline distT="0" distB="0" distL="114300" distR="114300">
            <wp:extent cx="5268595" cy="2810510"/>
            <wp:effectExtent l="0" t="0" r="8255" b="889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5"/>
                    <a:stretch>
                      <a:fillRect/>
                    </a:stretch>
                  </pic:blipFill>
                  <pic:spPr>
                    <a:xfrm>
                      <a:off x="0" y="0"/>
                      <a:ext cx="5268595" cy="2810510"/>
                    </a:xfrm>
                    <a:prstGeom prst="rect">
                      <a:avLst/>
                    </a:prstGeom>
                  </pic:spPr>
                </pic:pic>
              </a:graphicData>
            </a:graphic>
          </wp:inline>
        </w:drawing>
      </w:r>
      <w:r>
        <w:rPr>
          <w:rFonts w:hint="eastAsia" w:ascii="黑体" w:hAnsi="黑体" w:eastAsia="黑体" w:cs="仿宋_GB2312"/>
          <w:sz w:val="28"/>
          <w:szCs w:val="28"/>
          <w:lang w:eastAsia="zh-CN"/>
        </w:rPr>
        <w:drawing>
          <wp:inline distT="0" distB="0" distL="114300" distR="114300">
            <wp:extent cx="5260340" cy="2773680"/>
            <wp:effectExtent l="0" t="0" r="16510" b="7620"/>
            <wp:docPr id="15"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
                    <pic:cNvPicPr>
                      <a:picLocks noChangeAspect="1"/>
                    </pic:cNvPicPr>
                  </pic:nvPicPr>
                  <pic:blipFill>
                    <a:blip r:embed="rId16"/>
                    <a:stretch>
                      <a:fillRect/>
                    </a:stretch>
                  </pic:blipFill>
                  <pic:spPr>
                    <a:xfrm>
                      <a:off x="0" y="0"/>
                      <a:ext cx="5260340" cy="2773680"/>
                    </a:xfrm>
                    <a:prstGeom prst="rect">
                      <a:avLst/>
                    </a:prstGeom>
                  </pic:spPr>
                </pic:pic>
              </a:graphicData>
            </a:graphic>
          </wp:inline>
        </w:drawing>
      </w:r>
    </w:p>
    <w:p>
      <w:pPr>
        <w:jc w:val="left"/>
        <w:rPr>
          <w:rFonts w:hint="eastAsia" w:ascii="黑体" w:hAnsi="黑体" w:eastAsia="黑体" w:cs="仿宋_GB2312"/>
          <w:sz w:val="28"/>
          <w:szCs w:val="28"/>
          <w:lang w:eastAsia="zh-CN"/>
        </w:rPr>
      </w:pPr>
      <w:r>
        <w:rPr>
          <w:rFonts w:hint="eastAsia" w:ascii="黑体" w:hAnsi="黑体" w:eastAsia="黑体" w:cs="仿宋_GB2312"/>
          <w:sz w:val="28"/>
          <w:szCs w:val="28"/>
          <w:lang w:eastAsia="zh-CN"/>
        </w:rPr>
        <w:drawing>
          <wp:inline distT="0" distB="0" distL="114300" distR="114300">
            <wp:extent cx="5262245" cy="2740025"/>
            <wp:effectExtent l="0" t="0" r="14605" b="3175"/>
            <wp:docPr id="16"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0"/>
                    <pic:cNvPicPr>
                      <a:picLocks noChangeAspect="1"/>
                    </pic:cNvPicPr>
                  </pic:nvPicPr>
                  <pic:blipFill>
                    <a:blip r:embed="rId17"/>
                    <a:stretch>
                      <a:fillRect/>
                    </a:stretch>
                  </pic:blipFill>
                  <pic:spPr>
                    <a:xfrm>
                      <a:off x="0" y="0"/>
                      <a:ext cx="5262245" cy="2740025"/>
                    </a:xfrm>
                    <a:prstGeom prst="rect">
                      <a:avLst/>
                    </a:prstGeom>
                  </pic:spPr>
                </pic:pic>
              </a:graphicData>
            </a:graphic>
          </wp:inline>
        </w:drawing>
      </w:r>
    </w:p>
    <w:p>
      <w:pPr>
        <w:jc w:val="left"/>
        <w:rPr>
          <w:rFonts w:hint="eastAsia" w:ascii="黑体" w:hAnsi="黑体" w:eastAsia="黑体" w:cs="仿宋_GB2312"/>
          <w:sz w:val="28"/>
          <w:szCs w:val="28"/>
        </w:rPr>
      </w:pPr>
    </w:p>
    <w:p>
      <w:pPr>
        <w:jc w:val="left"/>
        <w:rPr>
          <w:rFonts w:ascii="黑体" w:hAnsi="黑体" w:eastAsia="黑体" w:cs="仿宋_GB2312"/>
          <w:sz w:val="28"/>
          <w:szCs w:val="28"/>
        </w:rPr>
      </w:pPr>
      <w:r>
        <w:rPr>
          <w:rFonts w:hint="eastAsia" w:ascii="黑体" w:hAnsi="黑体" w:eastAsia="黑体" w:cs="仿宋_GB2312"/>
          <w:sz w:val="28"/>
          <w:szCs w:val="28"/>
        </w:rPr>
        <w:t>六、示范中心存在的主要问题</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1.建设经费还存在一定缺口，仪器设备还比较落后，有待更新。</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2.设备落后带来的弊端是实验项目更新率还比较低。</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3.青年教师的实践能力有待加强，人员信息化教育、信息化水平都有待加强。</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4.与国内外高校、科研院所的交流合作有待加强。</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七、</w:t>
      </w:r>
      <w:bookmarkStart w:id="0" w:name="OLE_LINK3"/>
      <w:bookmarkStart w:id="1" w:name="OLE_LINK102"/>
      <w:bookmarkStart w:id="2" w:name="OLE_LINK46"/>
      <w:bookmarkStart w:id="3" w:name="OLE_LINK52"/>
      <w:bookmarkStart w:id="4" w:name="OLE_LINK74"/>
      <w:bookmarkStart w:id="5" w:name="OLE_LINK50"/>
      <w:bookmarkStart w:id="6" w:name="OLE_LINK24"/>
      <w:bookmarkStart w:id="7" w:name="OLE_LINK49"/>
      <w:bookmarkStart w:id="8" w:name="OLE_LINK35"/>
      <w:bookmarkStart w:id="9" w:name="OLE_LINK40"/>
      <w:bookmarkStart w:id="10" w:name="OLE_LINK65"/>
      <w:bookmarkStart w:id="11" w:name="OLE_LINK68"/>
      <w:bookmarkStart w:id="12" w:name="OLE_LINK64"/>
      <w:bookmarkStart w:id="13" w:name="OLE_LINK32"/>
      <w:bookmarkStart w:id="14" w:name="OLE_LINK33"/>
      <w:bookmarkStart w:id="15" w:name="OLE_LINK39"/>
      <w:bookmarkStart w:id="16" w:name="OLE_LINK87"/>
      <w:bookmarkStart w:id="17" w:name="OLE_LINK20"/>
      <w:bookmarkStart w:id="18" w:name="OLE_LINK62"/>
      <w:bookmarkStart w:id="19" w:name="OLE_LINK18"/>
      <w:bookmarkStart w:id="20" w:name="OLE_LINK70"/>
      <w:bookmarkStart w:id="21" w:name="OLE_LINK47"/>
      <w:bookmarkStart w:id="22" w:name="OLE_LINK63"/>
      <w:bookmarkStart w:id="23" w:name="OLE_LINK59"/>
      <w:bookmarkStart w:id="24" w:name="OLE_LINK21"/>
      <w:bookmarkStart w:id="25" w:name="OLE_LINK77"/>
      <w:bookmarkStart w:id="26" w:name="OLE_LINK78"/>
      <w:bookmarkStart w:id="27" w:name="OLE_LINK7"/>
      <w:bookmarkStart w:id="28" w:name="OLE_LINK51"/>
      <w:bookmarkStart w:id="29" w:name="OLE_LINK75"/>
      <w:bookmarkStart w:id="30" w:name="OLE_LINK101"/>
      <w:bookmarkStart w:id="31" w:name="OLE_LINK55"/>
      <w:bookmarkStart w:id="32" w:name="OLE_LINK81"/>
      <w:bookmarkStart w:id="33" w:name="OLE_LINK82"/>
      <w:bookmarkStart w:id="34" w:name="OLE_LINK79"/>
      <w:bookmarkStart w:id="35" w:name="OLE_LINK29"/>
      <w:bookmarkStart w:id="36" w:name="OLE_LINK96"/>
      <w:bookmarkStart w:id="37" w:name="OLE_LINK89"/>
      <w:bookmarkStart w:id="38" w:name="OLE_LINK48"/>
      <w:bookmarkStart w:id="39" w:name="OLE_LINK67"/>
      <w:bookmarkStart w:id="40" w:name="OLE_LINK36"/>
      <w:bookmarkStart w:id="41" w:name="OLE_LINK53"/>
      <w:bookmarkStart w:id="42" w:name="OLE_LINK80"/>
      <w:bookmarkStart w:id="43" w:name="OLE_LINK92"/>
      <w:bookmarkStart w:id="44" w:name="OLE_LINK73"/>
      <w:bookmarkStart w:id="45" w:name="OLE_LINK19"/>
      <w:bookmarkStart w:id="46" w:name="OLE_LINK8"/>
      <w:bookmarkStart w:id="47" w:name="OLE_LINK10"/>
      <w:bookmarkStart w:id="48" w:name="OLE_LINK27"/>
      <w:bookmarkStart w:id="49" w:name="OLE_LINK43"/>
      <w:bookmarkStart w:id="50" w:name="OLE_LINK4"/>
      <w:bookmarkStart w:id="51" w:name="OLE_LINK28"/>
      <w:bookmarkStart w:id="52" w:name="OLE_LINK31"/>
      <w:bookmarkStart w:id="53" w:name="OLE_LINK76"/>
      <w:bookmarkStart w:id="54" w:name="OLE_LINK66"/>
      <w:bookmarkStart w:id="55" w:name="OLE_LINK45"/>
      <w:bookmarkStart w:id="56" w:name="OLE_LINK88"/>
      <w:bookmarkStart w:id="57" w:name="OLE_LINK25"/>
      <w:bookmarkStart w:id="58" w:name="OLE_LINK83"/>
      <w:bookmarkStart w:id="59" w:name="OLE_LINK100"/>
      <w:bookmarkStart w:id="60" w:name="OLE_LINK86"/>
      <w:bookmarkStart w:id="61" w:name="OLE_LINK61"/>
      <w:bookmarkStart w:id="62" w:name="OLE_LINK23"/>
      <w:bookmarkStart w:id="63" w:name="OLE_LINK57"/>
      <w:bookmarkStart w:id="64" w:name="OLE_LINK26"/>
      <w:bookmarkStart w:id="65" w:name="OLE_LINK34"/>
      <w:bookmarkStart w:id="66" w:name="OLE_LINK38"/>
      <w:bookmarkStart w:id="67" w:name="OLE_LINK41"/>
      <w:bookmarkStart w:id="68" w:name="OLE_LINK9"/>
      <w:bookmarkStart w:id="69" w:name="OLE_LINK30"/>
      <w:bookmarkStart w:id="70" w:name="OLE_LINK54"/>
      <w:bookmarkStart w:id="71" w:name="OLE_LINK72"/>
      <w:bookmarkStart w:id="72" w:name="OLE_LINK56"/>
      <w:bookmarkStart w:id="73" w:name="OLE_LINK11"/>
      <w:bookmarkStart w:id="74" w:name="OLE_LINK13"/>
      <w:bookmarkStart w:id="75" w:name="OLE_LINK12"/>
      <w:bookmarkStart w:id="76" w:name="OLE_LINK6"/>
      <w:bookmarkStart w:id="77" w:name="OLE_LINK1"/>
      <w:bookmarkStart w:id="78" w:name="OLE_LINK15"/>
      <w:bookmarkStart w:id="79" w:name="OLE_LINK22"/>
      <w:bookmarkStart w:id="80" w:name="OLE_LINK95"/>
      <w:bookmarkStart w:id="81" w:name="OLE_LINK94"/>
      <w:bookmarkStart w:id="82" w:name="OLE_LINK44"/>
      <w:bookmarkStart w:id="83" w:name="OLE_LINK2"/>
      <w:bookmarkStart w:id="84" w:name="OLE_LINK37"/>
      <w:bookmarkStart w:id="85" w:name="OLE_LINK14"/>
      <w:bookmarkStart w:id="86" w:name="OLE_LINK5"/>
      <w:bookmarkStart w:id="87" w:name="OLE_LINK17"/>
      <w:bookmarkStart w:id="88" w:name="OLE_LINK93"/>
      <w:bookmarkStart w:id="89" w:name="OLE_LINK97"/>
      <w:bookmarkStart w:id="90" w:name="OLE_LINK42"/>
      <w:bookmarkStart w:id="91" w:name="OLE_LINK60"/>
      <w:bookmarkStart w:id="92" w:name="OLE_LINK58"/>
      <w:bookmarkStart w:id="93" w:name="OLE_LINK16"/>
      <w:bookmarkStart w:id="94" w:name="OLE_LINK90"/>
      <w:bookmarkStart w:id="95" w:name="OLE_LINK91"/>
      <w:bookmarkStart w:id="96" w:name="OLE_LINK103"/>
      <w:bookmarkStart w:id="97" w:name="OLE_LINK85"/>
      <w:bookmarkStart w:id="98" w:name="OLE_LINK99"/>
      <w:bookmarkStart w:id="99" w:name="OLE_LINK69"/>
      <w:bookmarkStart w:id="100" w:name="OLE_LINK71"/>
      <w:bookmarkStart w:id="101" w:name="OLE_LINK98"/>
      <w:bookmarkStart w:id="102" w:name="OLE_LINK84"/>
      <w:r>
        <w:rPr>
          <w:rFonts w:hint="eastAsia" w:ascii="黑体" w:hAnsi="黑体" w:eastAsia="黑体" w:cs="仿宋_GB2312"/>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黑体" w:hAnsi="黑体" w:eastAsia="黑体" w:cs="仿宋_GB2312"/>
          <w:sz w:val="28"/>
          <w:szCs w:val="28"/>
        </w:rPr>
        <w:t>的支持</w:t>
      </w:r>
    </w:p>
    <w:p>
      <w:pPr>
        <w:ind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上级主管部门和</w:t>
      </w:r>
      <w:r>
        <w:rPr>
          <w:rFonts w:hint="eastAsia" w:ascii="仿宋_GB2312" w:hAnsi="仿宋_GB2312" w:eastAsia="仿宋_GB2312" w:cs="仿宋_GB2312"/>
          <w:sz w:val="28"/>
          <w:szCs w:val="28"/>
        </w:rPr>
        <w:t>学校在经费方面给予了一定支持，本年度运行费 1</w:t>
      </w:r>
      <w:r>
        <w:rPr>
          <w:rFonts w:hint="eastAsia" w:ascii="仿宋_GB2312" w:hAnsi="仿宋_GB2312" w:eastAsia="仿宋_GB2312" w:cs="仿宋_GB2312"/>
          <w:sz w:val="28"/>
          <w:szCs w:val="28"/>
          <w:lang w:val="en-US" w:eastAsia="zh-CN"/>
        </w:rPr>
        <w:t>56</w:t>
      </w:r>
      <w:r>
        <w:rPr>
          <w:rFonts w:hint="eastAsia" w:ascii="仿宋_GB2312" w:hAnsi="仿宋_GB2312" w:eastAsia="仿宋_GB2312" w:cs="仿宋_GB2312"/>
          <w:sz w:val="28"/>
          <w:szCs w:val="28"/>
        </w:rPr>
        <w:t xml:space="preserve"> 万元，其中本科学生实验实习费</w:t>
      </w:r>
      <w:r>
        <w:rPr>
          <w:rFonts w:hint="eastAsia" w:ascii="仿宋_GB2312" w:hAnsi="仿宋_GB2312" w:eastAsia="仿宋_GB2312" w:cs="仿宋_GB2312"/>
          <w:sz w:val="28"/>
          <w:szCs w:val="28"/>
          <w:lang w:val="en-US" w:eastAsia="zh-CN"/>
        </w:rPr>
        <w:t>64</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eastAsia="zh-CN"/>
        </w:rPr>
        <w:t>一流</w:t>
      </w:r>
      <w:r>
        <w:rPr>
          <w:rFonts w:hint="eastAsia" w:ascii="仿宋_GB2312" w:hAnsi="仿宋_GB2312" w:eastAsia="仿宋_GB2312" w:cs="仿宋_GB2312"/>
          <w:sz w:val="28"/>
          <w:szCs w:val="28"/>
        </w:rPr>
        <w:t>专业建设费</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0万元，实习基地建设费</w:t>
      </w:r>
      <w:r>
        <w:rPr>
          <w:rFonts w:hint="eastAsia" w:ascii="仿宋_GB2312" w:hAnsi="仿宋_GB2312" w:eastAsia="仿宋_GB2312" w:cs="仿宋_GB2312"/>
          <w:sz w:val="28"/>
          <w:szCs w:val="28"/>
          <w:lang w:val="en-US" w:eastAsia="zh-CN"/>
        </w:rPr>
        <w:t>25</w:t>
      </w:r>
      <w:r>
        <w:rPr>
          <w:rFonts w:hint="eastAsia" w:ascii="仿宋_GB2312" w:hAnsi="仿宋_GB2312" w:eastAsia="仿宋_GB2312" w:cs="仿宋_GB2312"/>
          <w:sz w:val="28"/>
          <w:szCs w:val="28"/>
        </w:rPr>
        <w:t>万</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获批国家、省和校级大创项目经费 </w:t>
      </w:r>
      <w:r>
        <w:rPr>
          <w:rFonts w:hint="eastAsia" w:ascii="仿宋_GB2312" w:hAnsi="仿宋_GB2312" w:eastAsia="仿宋_GB2312" w:cs="仿宋_GB2312"/>
          <w:sz w:val="28"/>
          <w:szCs w:val="28"/>
          <w:lang w:val="en-US" w:eastAsia="zh-CN"/>
        </w:rPr>
        <w:t>17</w:t>
      </w:r>
      <w:r>
        <w:rPr>
          <w:rFonts w:hint="eastAsia" w:ascii="仿宋_GB2312" w:hAnsi="仿宋_GB2312" w:eastAsia="仿宋_GB2312" w:cs="仿宋_GB2312"/>
          <w:sz w:val="28"/>
          <w:szCs w:val="28"/>
        </w:rPr>
        <w:t>万元。</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2.采取有力措施调动教师开展大学生创新创业培养。学校将指导本科生大创项目和参加创业大赛纳入职称评定、定岗定级条件，极大促进了教师的积极性，大学生创新创业活动蓬勃开展。</w:t>
      </w:r>
    </w:p>
    <w:p>
      <w:pPr>
        <w:ind w:firstLine="560" w:firstLineChars="200"/>
        <w:rPr>
          <w:rFonts w:ascii="黑体" w:hAnsi="黑体" w:eastAsia="黑体"/>
          <w:sz w:val="28"/>
          <w:szCs w:val="28"/>
        </w:rPr>
      </w:pPr>
      <w:r>
        <w:rPr>
          <w:rFonts w:hint="eastAsia" w:ascii="仿宋_GB2312" w:hAnsi="仿宋_GB2312" w:eastAsia="仿宋_GB2312" w:cs="仿宋_GB2312"/>
          <w:color w:val="000000"/>
          <w:sz w:val="28"/>
          <w:szCs w:val="28"/>
        </w:rPr>
        <w:t>3.加强实验室安全管理。学校与各级各类人员签订安全责任书，加强易燃、易爆、易制毒化学品管理，完善危化品、危险废弃物处理管理办法，加强师生安全教育，制作了《实验室安全教育手册》，做到全年安全无事故。</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八、下一年发展思路</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年重点是在加强实验示范教学中心的内涵建设，为进一步提高人才培养质量提供坚实保障。</w:t>
      </w:r>
    </w:p>
    <w:p>
      <w:pPr>
        <w:numPr>
          <w:ilvl w:val="0"/>
          <w:numId w:val="2"/>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按照</w:t>
      </w:r>
      <w:r>
        <w:rPr>
          <w:rFonts w:hint="eastAsia" w:ascii="仿宋_GB2312" w:hAnsi="仿宋_GB2312" w:eastAsia="仿宋_GB2312" w:cs="仿宋_GB2312"/>
          <w:sz w:val="28"/>
          <w:szCs w:val="28"/>
          <w:lang w:val="en-US" w:eastAsia="zh-CN"/>
        </w:rPr>
        <w:t>OBE</w:t>
      </w:r>
      <w:r>
        <w:rPr>
          <w:rFonts w:hint="eastAsia" w:ascii="仿宋_GB2312" w:hAnsi="仿宋_GB2312" w:eastAsia="仿宋_GB2312" w:cs="仿宋_GB2312"/>
          <w:sz w:val="28"/>
          <w:szCs w:val="28"/>
        </w:rPr>
        <w:t>人才培养方案，在实践课程体系、内容上加大改革力度</w:t>
      </w:r>
      <w:r>
        <w:rPr>
          <w:rFonts w:hint="eastAsia" w:ascii="仿宋_GB2312" w:hAnsi="仿宋_GB2312" w:eastAsia="仿宋_GB2312" w:cs="仿宋_GB2312"/>
          <w:sz w:val="28"/>
          <w:szCs w:val="28"/>
          <w:lang w:eastAsia="zh-CN"/>
        </w:rPr>
        <w:t>，重点是加强课程内容建设</w:t>
      </w:r>
      <w:r>
        <w:rPr>
          <w:rFonts w:hint="eastAsia" w:ascii="仿宋_GB2312" w:hAnsi="仿宋_GB2312" w:eastAsia="仿宋_GB2312" w:cs="仿宋_GB2312"/>
          <w:sz w:val="28"/>
          <w:szCs w:val="28"/>
        </w:rPr>
        <w:t>。</w:t>
      </w:r>
    </w:p>
    <w:p>
      <w:pPr>
        <w:numPr>
          <w:ilvl w:val="0"/>
          <w:numId w:val="2"/>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针对中心所属的本科实验室进行整合建设，清查资产，整合资源，更新实验项目。</w:t>
      </w:r>
    </w:p>
    <w:p>
      <w:pPr>
        <w:numPr>
          <w:ilvl w:val="0"/>
          <w:numId w:val="2"/>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继续加强中心人员的队伍建设，提高教育教学水平。</w:t>
      </w:r>
    </w:p>
    <w:p>
      <w:pPr>
        <w:numPr>
          <w:ilvl w:val="0"/>
          <w:numId w:val="2"/>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继续加强中心的开放运行等各方面管理、积极开展对外合作交流。</w:t>
      </w:r>
    </w:p>
    <w:p>
      <w:pPr>
        <w:numPr>
          <w:ilvl w:val="0"/>
          <w:numId w:val="2"/>
        </w:numPr>
        <w:ind w:firstLine="560" w:firstLineChars="200"/>
        <w:rPr>
          <w:rFonts w:ascii="仿宋" w:hAnsi="仿宋" w:eastAsia="仿宋" w:cs="仿宋_GB2312"/>
          <w:b/>
          <w:bCs/>
          <w:w w:val="90"/>
          <w:sz w:val="28"/>
          <w:szCs w:val="28"/>
        </w:rPr>
      </w:pPr>
      <w:r>
        <w:rPr>
          <w:rFonts w:hint="eastAsia" w:ascii="仿宋_GB2312" w:hAnsi="仿宋_GB2312" w:eastAsia="仿宋_GB2312" w:cs="仿宋_GB2312"/>
          <w:sz w:val="28"/>
          <w:szCs w:val="28"/>
        </w:rPr>
        <w:t>继续加强中心的信息化建设，为教师教学和学生自主学习提供高效的实践教学互动平台。</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1.文中内容与后面示范中心数据相对应，必须客观真实，避免使用“国内领先”“国际一流”等词。</w:t>
      </w:r>
    </w:p>
    <w:p>
      <w:pPr>
        <w:ind w:firstLine="560" w:firstLineChars="200"/>
        <w:rPr>
          <w:rFonts w:ascii="楷体" w:hAnsi="楷体" w:eastAsia="楷体" w:cs="仿宋_GB2312"/>
          <w:color w:val="44546A" w:themeColor="text2"/>
          <w:sz w:val="28"/>
          <w:szCs w:val="28"/>
          <w14:textFill>
            <w14:solidFill>
              <w14:schemeClr w14:val="tx2"/>
            </w14:solidFill>
          </w14:textFill>
        </w:rPr>
      </w:pPr>
      <w:r>
        <w:rPr>
          <w:rFonts w:hint="eastAsia" w:ascii="楷体" w:hAnsi="楷体" w:eastAsia="楷体" w:cs="仿宋_GB2312"/>
          <w:color w:val="44546A" w:themeColor="text2"/>
          <w:sz w:val="28"/>
          <w:szCs w:val="28"/>
          <w14:textFill>
            <w14:solidFill>
              <w14:schemeClr w14:val="tx2"/>
            </w14:solidFill>
          </w14:textFill>
        </w:rPr>
        <w:t>2.文中介绍的成果必须带有</w:t>
      </w:r>
      <w:r>
        <w:rPr>
          <w:rFonts w:hint="eastAsia" w:ascii="楷体" w:hAnsi="楷体" w:eastAsia="楷体" w:cs="仿宋_GB2312"/>
          <w:color w:val="FF0000"/>
          <w:sz w:val="28"/>
          <w:szCs w:val="28"/>
        </w:rPr>
        <w:t>示范中心成员</w:t>
      </w:r>
      <w:r>
        <w:rPr>
          <w:rFonts w:hint="eastAsia" w:ascii="楷体" w:hAnsi="楷体" w:eastAsia="楷体" w:cs="仿宋_GB2312"/>
          <w:color w:val="44546A" w:themeColor="text2"/>
          <w:sz w:val="28"/>
          <w:szCs w:val="28"/>
          <w14:textFill>
            <w14:solidFill>
              <w14:schemeClr w14:val="tx2"/>
            </w14:solidFill>
          </w14:textFill>
        </w:rPr>
        <w:t>的署名。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p>
    <w:p>
      <w:pPr>
        <w:ind w:firstLine="560" w:firstLineChars="200"/>
        <w:rPr>
          <w:rFonts w:ascii="楷体" w:hAnsi="楷体" w:eastAsia="楷体" w:cs="仿宋_GB2312"/>
          <w:color w:val="FF0000"/>
          <w:sz w:val="28"/>
          <w:szCs w:val="28"/>
        </w:rPr>
      </w:pPr>
      <w:r>
        <w:rPr>
          <w:rFonts w:ascii="楷体" w:eastAsia="楷体" w:cs="楷体"/>
          <w:color w:val="FF0000"/>
          <w:kern w:val="0"/>
          <w:sz w:val="28"/>
          <w:szCs w:val="28"/>
          <w:lang w:val="zh-CN"/>
        </w:rPr>
        <w:t>4.</w:t>
      </w:r>
      <w:r>
        <w:rPr>
          <w:rFonts w:hint="eastAsia" w:ascii="楷体" w:hAnsi="楷体" w:eastAsia="楷体" w:cs="仿宋_GB2312"/>
          <w:color w:val="FF0000"/>
          <w:sz w:val="28"/>
          <w:szCs w:val="28"/>
        </w:rPr>
        <w:t>模板中涂红色部分较上年度有变化，请填写时注意。</w:t>
      </w:r>
    </w:p>
    <w:p>
      <w:pPr>
        <w:ind w:firstLine="560" w:firstLineChars="200"/>
        <w:rPr>
          <w:rFonts w:hint="eastAsia" w:ascii="楷体" w:hAnsi="楷体" w:eastAsia="楷体" w:cs="仿宋_GB2312"/>
          <w:color w:val="auto"/>
          <w:sz w:val="28"/>
          <w:szCs w:val="28"/>
        </w:rPr>
        <w:sectPr>
          <w:footerReference r:id="rId3" w:type="default"/>
          <w:pgSz w:w="11900" w:h="16840"/>
          <w:pgMar w:top="1440" w:right="1800" w:bottom="1440" w:left="1800" w:header="851" w:footer="992" w:gutter="0"/>
          <w:cols w:space="425" w:num="1"/>
          <w:docGrid w:type="lines" w:linePitch="326" w:charSpace="0"/>
        </w:sectPr>
      </w:pPr>
    </w:p>
    <w:p>
      <w:pPr>
        <w:jc w:val="center"/>
        <w:rPr>
          <w:rFonts w:ascii="黑体" w:hAnsi="黑体" w:eastAsia="黑体"/>
          <w:b/>
          <w:bCs/>
          <w:color w:val="auto"/>
          <w:w w:val="90"/>
          <w:sz w:val="32"/>
          <w:szCs w:val="32"/>
        </w:rPr>
      </w:pPr>
      <w:r>
        <w:rPr>
          <w:rFonts w:hint="eastAsia" w:ascii="黑体" w:hAnsi="黑体" w:eastAsia="黑体" w:cs="仿宋_GB2312"/>
          <w:b/>
          <w:bCs/>
          <w:color w:val="auto"/>
          <w:w w:val="90"/>
          <w:sz w:val="32"/>
          <w:szCs w:val="32"/>
        </w:rPr>
        <w:t>第二部分</w:t>
      </w:r>
      <w:r>
        <w:rPr>
          <w:rFonts w:hint="eastAsia" w:ascii="黑体" w:hAnsi="黑体" w:eastAsia="黑体"/>
          <w:b/>
          <w:bCs/>
          <w:color w:val="auto"/>
          <w:w w:val="90"/>
          <w:sz w:val="32"/>
          <w:szCs w:val="32"/>
        </w:rPr>
        <w:t xml:space="preserve"> 示范中心数据</w:t>
      </w:r>
    </w:p>
    <w:p>
      <w:pPr>
        <w:jc w:val="center"/>
        <w:rPr>
          <w:rFonts w:ascii="楷体" w:hAnsi="楷体" w:eastAsia="楷体" w:cs="仿宋_GB2312"/>
          <w:b/>
          <w:bCs/>
          <w:color w:val="auto"/>
          <w:w w:val="90"/>
          <w:sz w:val="28"/>
          <w:szCs w:val="28"/>
        </w:rPr>
      </w:pPr>
      <w:r>
        <w:rPr>
          <w:rFonts w:hint="eastAsia" w:ascii="楷体" w:hAnsi="楷体" w:eastAsia="楷体" w:cs="仿宋_GB2312"/>
          <w:b/>
          <w:bCs/>
          <w:color w:val="auto"/>
          <w:w w:val="90"/>
          <w:sz w:val="28"/>
          <w:szCs w:val="28"/>
        </w:rPr>
        <w:t>（</w:t>
      </w:r>
      <w:r>
        <w:rPr>
          <w:rFonts w:hint="eastAsia" w:ascii="楷体" w:hAnsi="楷体" w:eastAsia="楷体" w:cs="仿宋_GB2312"/>
          <w:color w:val="auto"/>
          <w:w w:val="90"/>
          <w:sz w:val="28"/>
          <w:szCs w:val="28"/>
        </w:rPr>
        <w:t>数据采集时间为</w:t>
      </w:r>
      <w:r>
        <w:rPr>
          <w:rFonts w:hint="eastAsia" w:ascii="楷体" w:hAnsi="楷体" w:eastAsia="楷体"/>
          <w:color w:val="auto"/>
          <w:w w:val="90"/>
          <w:sz w:val="28"/>
          <w:szCs w:val="28"/>
        </w:rPr>
        <w:t xml:space="preserve"> </w:t>
      </w:r>
      <w:r>
        <w:rPr>
          <w:rFonts w:hint="eastAsia" w:ascii="楷体" w:hAnsi="楷体" w:eastAsia="楷体"/>
          <w:color w:val="auto"/>
          <w:w w:val="90"/>
          <w:sz w:val="28"/>
          <w:szCs w:val="28"/>
          <w:lang w:eastAsia="zh-CN"/>
        </w:rPr>
        <w:t>20</w:t>
      </w:r>
      <w:r>
        <w:rPr>
          <w:rFonts w:hint="eastAsia" w:ascii="楷体" w:hAnsi="楷体" w:eastAsia="楷体"/>
          <w:color w:val="auto"/>
          <w:w w:val="90"/>
          <w:sz w:val="28"/>
          <w:szCs w:val="28"/>
          <w:lang w:val="en-US" w:eastAsia="zh-CN"/>
        </w:rPr>
        <w:t>22</w:t>
      </w:r>
      <w:r>
        <w:rPr>
          <w:rFonts w:hint="eastAsia" w:ascii="楷体" w:hAnsi="楷体" w:eastAsia="楷体"/>
          <w:color w:val="auto"/>
          <w:w w:val="90"/>
          <w:sz w:val="28"/>
          <w:szCs w:val="28"/>
        </w:rPr>
        <w:t>年1</w:t>
      </w:r>
      <w:r>
        <w:rPr>
          <w:rFonts w:hint="eastAsia" w:ascii="楷体" w:hAnsi="楷体" w:eastAsia="楷体" w:cs="仿宋_GB2312"/>
          <w:color w:val="auto"/>
          <w:w w:val="90"/>
          <w:sz w:val="28"/>
          <w:szCs w:val="28"/>
        </w:rPr>
        <w:t>月</w:t>
      </w:r>
      <w:r>
        <w:rPr>
          <w:rFonts w:hint="eastAsia" w:ascii="楷体" w:hAnsi="楷体" w:eastAsia="楷体"/>
          <w:color w:val="auto"/>
          <w:w w:val="90"/>
          <w:sz w:val="28"/>
          <w:szCs w:val="28"/>
        </w:rPr>
        <w:t>1</w:t>
      </w:r>
      <w:r>
        <w:rPr>
          <w:rFonts w:hint="eastAsia" w:ascii="楷体" w:hAnsi="楷体" w:eastAsia="楷体" w:cs="仿宋_GB2312"/>
          <w:color w:val="auto"/>
          <w:w w:val="90"/>
          <w:sz w:val="28"/>
          <w:szCs w:val="28"/>
        </w:rPr>
        <w:t>日至</w:t>
      </w:r>
      <w:r>
        <w:rPr>
          <w:rFonts w:hint="eastAsia" w:ascii="楷体" w:hAnsi="楷体" w:eastAsia="楷体"/>
          <w:color w:val="auto"/>
          <w:w w:val="90"/>
          <w:sz w:val="28"/>
          <w:szCs w:val="28"/>
        </w:rPr>
        <w:t>12</w:t>
      </w:r>
      <w:r>
        <w:rPr>
          <w:rFonts w:hint="eastAsia" w:ascii="楷体" w:hAnsi="楷体" w:eastAsia="楷体" w:cs="仿宋_GB2312"/>
          <w:color w:val="auto"/>
          <w:w w:val="90"/>
          <w:sz w:val="28"/>
          <w:szCs w:val="28"/>
        </w:rPr>
        <w:t>月</w:t>
      </w:r>
      <w:r>
        <w:rPr>
          <w:rFonts w:hint="eastAsia" w:ascii="楷体" w:hAnsi="楷体" w:eastAsia="楷体"/>
          <w:color w:val="auto"/>
          <w:w w:val="90"/>
          <w:sz w:val="28"/>
          <w:szCs w:val="28"/>
        </w:rPr>
        <w:t>31</w:t>
      </w:r>
      <w:r>
        <w:rPr>
          <w:rFonts w:hint="eastAsia" w:ascii="楷体" w:hAnsi="楷体" w:eastAsia="楷体" w:cs="仿宋_GB2312"/>
          <w:color w:val="auto"/>
          <w:w w:val="90"/>
          <w:sz w:val="28"/>
          <w:szCs w:val="28"/>
        </w:rPr>
        <w:t>日</w:t>
      </w:r>
      <w:r>
        <w:rPr>
          <w:rFonts w:hint="eastAsia" w:ascii="楷体" w:hAnsi="楷体" w:eastAsia="楷体" w:cs="仿宋_GB2312"/>
          <w:b/>
          <w:bCs/>
          <w:color w:val="auto"/>
          <w:w w:val="90"/>
          <w:sz w:val="28"/>
          <w:szCs w:val="28"/>
        </w:rPr>
        <w:t>）</w:t>
      </w:r>
    </w:p>
    <w:p>
      <w:pPr>
        <w:spacing w:before="163" w:beforeLines="50" w:after="163" w:afterLines="50"/>
        <w:ind w:firstLine="643" w:firstLineChars="200"/>
        <w:rPr>
          <w:rFonts w:ascii="黑体" w:hAnsi="黑体" w:eastAsia="黑体"/>
          <w:b/>
          <w:bCs/>
          <w:color w:val="auto"/>
          <w:sz w:val="32"/>
          <w:szCs w:val="32"/>
        </w:rPr>
      </w:pPr>
      <w:r>
        <w:rPr>
          <w:rFonts w:hint="eastAsia" w:ascii="黑体" w:hAnsi="黑体" w:eastAsia="黑体"/>
          <w:b/>
          <w:bCs/>
          <w:color w:val="auto"/>
          <w:sz w:val="32"/>
          <w:szCs w:val="32"/>
        </w:rPr>
        <w:t>一、示范中心基本情况</w:t>
      </w:r>
    </w:p>
    <w:tbl>
      <w:tblPr>
        <w:tblStyle w:val="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06"/>
        <w:gridCol w:w="1325"/>
        <w:gridCol w:w="959"/>
        <w:gridCol w:w="1317"/>
        <w:gridCol w:w="731"/>
        <w:gridCol w:w="802"/>
        <w:gridCol w:w="78"/>
        <w:gridCol w:w="79"/>
        <w:gridCol w:w="17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color w:val="auto"/>
                <w:sz w:val="28"/>
                <w:szCs w:val="28"/>
              </w:rPr>
            </w:pPr>
            <w:r>
              <w:rPr>
                <w:rFonts w:hint="eastAsia" w:ascii="黑体" w:hAnsi="黑体" w:eastAsia="黑体"/>
                <w:bCs/>
                <w:color w:val="auto"/>
                <w:sz w:val="28"/>
                <w:szCs w:val="28"/>
              </w:rPr>
              <w:t>示范中心名称</w:t>
            </w:r>
          </w:p>
        </w:tc>
        <w:tc>
          <w:tcPr>
            <w:tcW w:w="5685" w:type="dxa"/>
            <w:gridSpan w:val="7"/>
            <w:vAlign w:val="top"/>
          </w:tcPr>
          <w:p>
            <w:pPr>
              <w:rPr>
                <w:rFonts w:ascii="黑体" w:hAnsi="黑体" w:eastAsia="黑体"/>
                <w:bCs/>
                <w:color w:val="auto"/>
                <w:sz w:val="28"/>
                <w:szCs w:val="28"/>
              </w:rPr>
            </w:pPr>
            <w:r>
              <w:rPr>
                <w:rFonts w:hint="eastAsia" w:ascii="黑体" w:hAnsi="黑体" w:eastAsia="黑体"/>
                <w:bCs/>
                <w:sz w:val="28"/>
                <w:szCs w:val="28"/>
              </w:rPr>
              <w:t>寒地作物栽培技术实验教学中心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color w:val="auto"/>
                <w:sz w:val="28"/>
                <w:szCs w:val="28"/>
              </w:rPr>
            </w:pPr>
            <w:r>
              <w:rPr>
                <w:rFonts w:hint="eastAsia" w:ascii="黑体" w:hAnsi="黑体" w:eastAsia="黑体"/>
                <w:bCs/>
                <w:color w:val="auto"/>
                <w:sz w:val="28"/>
                <w:szCs w:val="28"/>
              </w:rPr>
              <w:t>所在学校名称</w:t>
            </w:r>
          </w:p>
        </w:tc>
        <w:tc>
          <w:tcPr>
            <w:tcW w:w="5685" w:type="dxa"/>
            <w:gridSpan w:val="7"/>
            <w:vAlign w:val="top"/>
          </w:tcPr>
          <w:p>
            <w:pPr>
              <w:rPr>
                <w:rFonts w:ascii="黑体" w:hAnsi="黑体" w:eastAsia="黑体"/>
                <w:bCs/>
                <w:color w:val="auto"/>
                <w:sz w:val="28"/>
                <w:szCs w:val="28"/>
              </w:rPr>
            </w:pPr>
            <w:r>
              <w:rPr>
                <w:rFonts w:hint="eastAsia" w:ascii="黑体" w:hAnsi="黑体" w:eastAsia="黑体"/>
                <w:bCs/>
                <w:sz w:val="28"/>
                <w:szCs w:val="28"/>
              </w:rPr>
              <w:t>黑龙江八一农垦大学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color w:val="auto"/>
                <w:sz w:val="28"/>
                <w:szCs w:val="28"/>
              </w:rPr>
            </w:pPr>
            <w:r>
              <w:rPr>
                <w:rFonts w:hint="eastAsia" w:ascii="黑体" w:hAnsi="黑体" w:eastAsia="黑体"/>
                <w:bCs/>
                <w:color w:val="auto"/>
                <w:sz w:val="28"/>
                <w:szCs w:val="28"/>
              </w:rPr>
              <w:t>主管部门名称</w:t>
            </w:r>
          </w:p>
        </w:tc>
        <w:tc>
          <w:tcPr>
            <w:tcW w:w="5685" w:type="dxa"/>
            <w:gridSpan w:val="7"/>
            <w:vAlign w:val="top"/>
          </w:tcPr>
          <w:p>
            <w:pPr>
              <w:rPr>
                <w:rFonts w:hint="eastAsia" w:ascii="黑体" w:hAnsi="黑体" w:eastAsia="黑体"/>
                <w:bCs/>
                <w:color w:val="auto"/>
                <w:sz w:val="28"/>
                <w:szCs w:val="28"/>
                <w:lang w:eastAsia="zh-CN"/>
              </w:rPr>
            </w:pPr>
            <w:r>
              <w:rPr>
                <w:rFonts w:hint="eastAsia" w:ascii="黑体" w:hAnsi="黑体" w:eastAsia="黑体"/>
                <w:bCs/>
                <w:sz w:val="28"/>
                <w:szCs w:val="28"/>
              </w:rPr>
              <w:t>黑龙江省教育厅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color w:val="auto"/>
                <w:sz w:val="28"/>
                <w:szCs w:val="28"/>
              </w:rPr>
            </w:pPr>
            <w:r>
              <w:rPr>
                <w:rFonts w:hint="eastAsia" w:ascii="黑体" w:hAnsi="黑体" w:eastAsia="黑体"/>
                <w:bCs/>
                <w:color w:val="auto"/>
                <w:sz w:val="28"/>
                <w:szCs w:val="28"/>
              </w:rPr>
              <w:t>示范中心门户网址</w:t>
            </w:r>
          </w:p>
        </w:tc>
        <w:tc>
          <w:tcPr>
            <w:tcW w:w="3337" w:type="pct"/>
            <w:gridSpan w:val="7"/>
            <w:vAlign w:val="top"/>
          </w:tcPr>
          <w:p>
            <w:pPr>
              <w:rPr>
                <w:rFonts w:ascii="黑体" w:hAnsi="黑体" w:eastAsia="黑体"/>
                <w:bCs/>
                <w:color w:val="auto"/>
                <w:sz w:val="28"/>
                <w:szCs w:val="28"/>
              </w:rPr>
            </w:pPr>
            <w:r>
              <w:rPr>
                <w:rFonts w:ascii="宋体" w:hAnsi="宋体" w:eastAsia="宋体" w:cs="宋体"/>
                <w:sz w:val="24"/>
                <w:szCs w:val="24"/>
              </w:rPr>
              <w:t>http://10.1.3.65/_s68/main.psp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vAlign w:val="center"/>
          </w:tcPr>
          <w:p>
            <w:pPr>
              <w:jc w:val="center"/>
              <w:rPr>
                <w:rFonts w:ascii="黑体" w:hAnsi="黑体" w:eastAsia="黑体"/>
                <w:bCs/>
                <w:color w:val="auto"/>
                <w:sz w:val="28"/>
                <w:szCs w:val="28"/>
              </w:rPr>
            </w:pPr>
            <w:r>
              <w:rPr>
                <w:rFonts w:hint="eastAsia" w:ascii="黑体" w:hAnsi="黑体" w:eastAsia="黑体"/>
                <w:bCs/>
                <w:color w:val="auto"/>
                <w:sz w:val="28"/>
                <w:szCs w:val="28"/>
              </w:rPr>
              <w:t>示范中心详细地址</w:t>
            </w:r>
          </w:p>
        </w:tc>
        <w:tc>
          <w:tcPr>
            <w:tcW w:w="3007" w:type="dxa"/>
            <w:gridSpan w:val="3"/>
            <w:vAlign w:val="top"/>
          </w:tcPr>
          <w:p>
            <w:pPr>
              <w:rPr>
                <w:rFonts w:ascii="黑体" w:hAnsi="黑体" w:eastAsia="黑体"/>
                <w:bCs/>
                <w:color w:val="auto"/>
                <w:sz w:val="28"/>
                <w:szCs w:val="28"/>
              </w:rPr>
            </w:pPr>
            <w:r>
              <w:rPr>
                <w:rFonts w:hint="eastAsia" w:ascii="宋体" w:hAnsi="宋体" w:eastAsia="宋体" w:cs="宋体"/>
                <w:b/>
                <w:bCs/>
                <w:szCs w:val="21"/>
              </w:rPr>
              <w:t>黑龙江省大庆市高新区新风路5号</w:t>
            </w:r>
          </w:p>
        </w:tc>
        <w:tc>
          <w:tcPr>
            <w:tcW w:w="959" w:type="dxa"/>
            <w:gridSpan w:val="3"/>
            <w:vAlign w:val="top"/>
          </w:tcPr>
          <w:p>
            <w:pPr>
              <w:jc w:val="center"/>
              <w:rPr>
                <w:rFonts w:ascii="黑体" w:hAnsi="黑体" w:eastAsia="黑体"/>
                <w:bCs/>
                <w:color w:val="auto"/>
                <w:sz w:val="28"/>
                <w:szCs w:val="28"/>
              </w:rPr>
            </w:pPr>
            <w:r>
              <w:rPr>
                <w:rFonts w:hint="eastAsia" w:ascii="黑体" w:hAnsi="黑体" w:eastAsia="黑体"/>
                <w:bCs/>
                <w:sz w:val="28"/>
                <w:szCs w:val="28"/>
              </w:rPr>
              <w:t>邮政编码</w:t>
            </w:r>
          </w:p>
        </w:tc>
        <w:tc>
          <w:tcPr>
            <w:tcW w:w="1719" w:type="dxa"/>
            <w:vAlign w:val="top"/>
          </w:tcPr>
          <w:p>
            <w:pPr>
              <w:rPr>
                <w:rFonts w:ascii="黑体" w:hAnsi="黑体" w:eastAsia="黑体"/>
                <w:bCs/>
                <w:color w:val="auto"/>
                <w:sz w:val="28"/>
                <w:szCs w:val="28"/>
              </w:rPr>
            </w:pPr>
            <w:r>
              <w:rPr>
                <w:rFonts w:hint="eastAsia" w:ascii="黑体" w:hAnsi="黑体" w:eastAsia="黑体"/>
                <w:bCs/>
                <w:sz w:val="28"/>
                <w:szCs w:val="28"/>
              </w:rPr>
              <w:t>163319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color w:val="auto"/>
                <w:sz w:val="28"/>
                <w:szCs w:val="28"/>
              </w:rPr>
            </w:pPr>
            <w:r>
              <w:rPr>
                <w:rFonts w:hint="eastAsia" w:ascii="黑体" w:hAnsi="黑体" w:eastAsia="黑体"/>
                <w:bCs/>
                <w:color w:val="auto"/>
                <w:sz w:val="28"/>
                <w:szCs w:val="28"/>
              </w:rPr>
              <w:t>固定资产情况</w:t>
            </w:r>
          </w:p>
        </w:tc>
        <w:tc>
          <w:tcPr>
            <w:tcW w:w="3337" w:type="pct"/>
            <w:gridSpan w:val="7"/>
          </w:tcPr>
          <w:p>
            <w:pPr>
              <w:rPr>
                <w:rFonts w:ascii="黑体" w:hAnsi="黑体" w:eastAsia="黑体"/>
                <w:bCs/>
                <w:color w:val="auto"/>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84" w:type="pct"/>
            <w:vAlign w:val="center"/>
          </w:tcPr>
          <w:p>
            <w:pPr>
              <w:jc w:val="center"/>
              <w:rPr>
                <w:rFonts w:ascii="黑体" w:hAnsi="黑体" w:eastAsia="黑体"/>
                <w:bCs/>
                <w:color w:val="auto"/>
                <w:sz w:val="28"/>
                <w:szCs w:val="28"/>
              </w:rPr>
            </w:pPr>
            <w:r>
              <w:rPr>
                <w:rFonts w:hint="eastAsia" w:ascii="黑体" w:hAnsi="黑体" w:eastAsia="黑体"/>
                <w:bCs/>
                <w:color w:val="auto"/>
                <w:sz w:val="28"/>
                <w:szCs w:val="28"/>
              </w:rPr>
              <w:t>建筑面积</w:t>
            </w:r>
          </w:p>
        </w:tc>
        <w:tc>
          <w:tcPr>
            <w:tcW w:w="777" w:type="pct"/>
            <w:vAlign w:val="center"/>
          </w:tcPr>
          <w:p>
            <w:pPr>
              <w:jc w:val="center"/>
              <w:rPr>
                <w:rFonts w:hint="default" w:ascii="楷体" w:hAnsi="楷体" w:eastAsia="楷体"/>
                <w:bCs/>
                <w:color w:val="auto"/>
                <w:sz w:val="28"/>
                <w:szCs w:val="28"/>
                <w:lang w:val="en-US" w:eastAsia="zh-CN"/>
              </w:rPr>
            </w:pPr>
            <w:r>
              <w:rPr>
                <w:rFonts w:hint="eastAsia" w:ascii="楷体" w:hAnsi="楷体" w:eastAsia="楷体"/>
                <w:bCs/>
                <w:color w:val="auto"/>
                <w:sz w:val="28"/>
                <w:szCs w:val="28"/>
                <w:lang w:val="en-US" w:eastAsia="zh-CN"/>
              </w:rPr>
              <w:t>6294m</w:t>
            </w:r>
            <w:r>
              <w:rPr>
                <w:rFonts w:hint="eastAsia" w:ascii="楷体" w:hAnsi="楷体" w:eastAsia="楷体"/>
                <w:bCs/>
                <w:color w:val="auto"/>
                <w:sz w:val="28"/>
                <w:szCs w:val="28"/>
                <w:vertAlign w:val="superscript"/>
                <w:lang w:val="en-US" w:eastAsia="zh-CN"/>
              </w:rPr>
              <w:t>2</w:t>
            </w:r>
          </w:p>
        </w:tc>
        <w:tc>
          <w:tcPr>
            <w:tcW w:w="563" w:type="pct"/>
            <w:vAlign w:val="center"/>
          </w:tcPr>
          <w:p>
            <w:pPr>
              <w:jc w:val="center"/>
              <w:rPr>
                <w:rFonts w:ascii="黑体" w:hAnsi="黑体" w:eastAsia="黑体"/>
                <w:bCs/>
                <w:color w:val="auto"/>
                <w:sz w:val="28"/>
                <w:szCs w:val="28"/>
              </w:rPr>
            </w:pPr>
            <w:r>
              <w:rPr>
                <w:rFonts w:hint="eastAsia" w:ascii="黑体" w:hAnsi="黑体" w:eastAsia="黑体"/>
                <w:bCs/>
                <w:color w:val="auto"/>
                <w:sz w:val="28"/>
                <w:szCs w:val="28"/>
              </w:rPr>
              <w:t>设备总值</w:t>
            </w:r>
          </w:p>
        </w:tc>
        <w:tc>
          <w:tcPr>
            <w:tcW w:w="773" w:type="pct"/>
            <w:vAlign w:val="center"/>
          </w:tcPr>
          <w:p>
            <w:pPr>
              <w:jc w:val="center"/>
              <w:rPr>
                <w:rFonts w:hint="eastAsia" w:ascii="楷体" w:hAnsi="楷体" w:eastAsia="楷体"/>
                <w:bCs/>
                <w:color w:val="auto"/>
                <w:sz w:val="28"/>
                <w:szCs w:val="28"/>
                <w:lang w:val="en-US" w:eastAsia="zh-CN"/>
              </w:rPr>
            </w:pPr>
            <w:r>
              <w:rPr>
                <w:rFonts w:hint="eastAsia" w:ascii="楷体" w:hAnsi="楷体" w:eastAsia="楷体"/>
                <w:bCs/>
                <w:color w:val="auto"/>
                <w:sz w:val="28"/>
                <w:szCs w:val="28"/>
                <w:lang w:val="en-US" w:eastAsia="zh-CN"/>
              </w:rPr>
              <w:t>4185</w:t>
            </w:r>
          </w:p>
          <w:p>
            <w:pPr>
              <w:jc w:val="center"/>
              <w:rPr>
                <w:rFonts w:hint="eastAsia" w:ascii="黑体" w:hAnsi="黑体" w:eastAsia="黑体"/>
                <w:bCs/>
                <w:color w:val="auto"/>
                <w:sz w:val="28"/>
                <w:szCs w:val="28"/>
                <w:lang w:val="en-US" w:eastAsia="zh-CN"/>
              </w:rPr>
            </w:pPr>
            <w:r>
              <w:rPr>
                <w:rFonts w:hint="eastAsia" w:ascii="楷体" w:hAnsi="楷体" w:eastAsia="楷体"/>
                <w:bCs/>
                <w:color w:val="auto"/>
                <w:sz w:val="28"/>
                <w:szCs w:val="28"/>
                <w:lang w:val="en-US" w:eastAsia="zh-CN"/>
              </w:rPr>
              <w:t>万元</w:t>
            </w:r>
          </w:p>
        </w:tc>
        <w:tc>
          <w:tcPr>
            <w:tcW w:w="900" w:type="pct"/>
            <w:gridSpan w:val="2"/>
            <w:vAlign w:val="center"/>
          </w:tcPr>
          <w:p>
            <w:pPr>
              <w:jc w:val="center"/>
              <w:rPr>
                <w:rFonts w:hint="eastAsia" w:ascii="黑体" w:hAnsi="黑体" w:eastAsia="黑体"/>
                <w:bCs/>
                <w:color w:val="auto"/>
                <w:sz w:val="28"/>
                <w:szCs w:val="28"/>
                <w:lang w:val="en-US" w:eastAsia="zh-CN"/>
              </w:rPr>
            </w:pPr>
            <w:r>
              <w:rPr>
                <w:rFonts w:hint="eastAsia" w:ascii="黑体" w:hAnsi="黑体" w:eastAsia="黑体"/>
                <w:bCs/>
                <w:color w:val="auto"/>
                <w:sz w:val="28"/>
                <w:szCs w:val="28"/>
                <w:lang w:val="en-US" w:eastAsia="zh-CN"/>
              </w:rPr>
              <w:t>设备台数</w:t>
            </w:r>
          </w:p>
        </w:tc>
        <w:tc>
          <w:tcPr>
            <w:tcW w:w="1101" w:type="pct"/>
            <w:gridSpan w:val="3"/>
            <w:vAlign w:val="center"/>
          </w:tcPr>
          <w:p>
            <w:pPr>
              <w:jc w:val="center"/>
              <w:rPr>
                <w:rFonts w:hint="default" w:ascii="黑体" w:hAnsi="黑体" w:eastAsia="黑体"/>
                <w:bCs/>
                <w:color w:val="auto"/>
                <w:sz w:val="28"/>
                <w:szCs w:val="28"/>
                <w:lang w:val="en-US" w:eastAsia="zh-CN"/>
              </w:rPr>
            </w:pPr>
            <w:r>
              <w:rPr>
                <w:rFonts w:hint="eastAsia" w:ascii="楷体" w:hAnsi="楷体" w:eastAsia="楷体"/>
                <w:bCs/>
                <w:color w:val="auto"/>
                <w:sz w:val="28"/>
                <w:szCs w:val="28"/>
                <w:lang w:val="en-US" w:eastAsia="zh-CN"/>
              </w:rPr>
              <w:t>2461台（套）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color w:val="auto"/>
                <w:sz w:val="28"/>
                <w:szCs w:val="28"/>
              </w:rPr>
            </w:pPr>
            <w:r>
              <w:rPr>
                <w:rFonts w:hint="eastAsia" w:ascii="黑体" w:hAnsi="黑体" w:eastAsia="黑体"/>
                <w:bCs/>
                <w:color w:val="auto"/>
                <w:sz w:val="28"/>
                <w:szCs w:val="28"/>
              </w:rPr>
              <w:t>经费投入情况</w:t>
            </w:r>
          </w:p>
        </w:tc>
        <w:tc>
          <w:tcPr>
            <w:tcW w:w="3337" w:type="pct"/>
            <w:gridSpan w:val="7"/>
          </w:tcPr>
          <w:p>
            <w:pPr>
              <w:rPr>
                <w:rFonts w:hint="default" w:ascii="黑体" w:hAnsi="黑体" w:eastAsia="黑体"/>
                <w:bCs/>
                <w:color w:val="auto"/>
                <w:sz w:val="28"/>
                <w:szCs w:val="2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Borders>
              <w:right w:val="single" w:color="auto" w:sz="4" w:space="0"/>
            </w:tcBorders>
            <w:vAlign w:val="center"/>
          </w:tcPr>
          <w:p>
            <w:pPr>
              <w:jc w:val="center"/>
              <w:rPr>
                <w:rFonts w:ascii="黑体" w:hAnsi="黑体" w:eastAsia="黑体"/>
                <w:bCs/>
                <w:color w:val="auto"/>
                <w:sz w:val="28"/>
                <w:szCs w:val="28"/>
              </w:rPr>
            </w:pPr>
            <w:r>
              <w:rPr>
                <w:rFonts w:hint="eastAsia" w:ascii="黑体" w:hAnsi="黑体" w:eastAsia="黑体"/>
                <w:bCs/>
                <w:color w:val="auto"/>
                <w:sz w:val="28"/>
                <w:szCs w:val="28"/>
              </w:rPr>
              <w:t>主管部门年度经费投入</w:t>
            </w:r>
          </w:p>
          <w:p>
            <w:pPr>
              <w:jc w:val="center"/>
              <w:rPr>
                <w:rFonts w:ascii="楷体" w:hAnsi="楷体" w:eastAsia="楷体"/>
                <w:bCs/>
                <w:color w:val="auto"/>
              </w:rPr>
            </w:pPr>
            <w:r>
              <w:rPr>
                <w:rFonts w:hint="eastAsia" w:ascii="楷体" w:hAnsi="楷体" w:eastAsia="楷体"/>
                <w:bCs/>
                <w:color w:val="auto"/>
              </w:rPr>
              <w:t>（直属高校不填）</w:t>
            </w:r>
          </w:p>
        </w:tc>
        <w:tc>
          <w:tcPr>
            <w:tcW w:w="563" w:type="pct"/>
            <w:tcBorders>
              <w:left w:val="single" w:color="auto" w:sz="4" w:space="0"/>
            </w:tcBorders>
            <w:vAlign w:val="center"/>
          </w:tcPr>
          <w:p>
            <w:pPr>
              <w:ind w:firstLine="274" w:firstLineChars="98"/>
              <w:jc w:val="both"/>
              <w:rPr>
                <w:rFonts w:hint="default" w:ascii="楷体" w:hAnsi="楷体" w:eastAsia="楷体"/>
                <w:bCs/>
                <w:color w:val="auto"/>
                <w:sz w:val="28"/>
                <w:szCs w:val="28"/>
                <w:lang w:val="en-US" w:eastAsia="zh-CN"/>
              </w:rPr>
            </w:pPr>
            <w:r>
              <w:rPr>
                <w:rFonts w:hint="eastAsia" w:ascii="楷体" w:hAnsi="楷体" w:eastAsia="楷体"/>
                <w:bCs/>
                <w:color w:val="auto"/>
                <w:sz w:val="28"/>
                <w:szCs w:val="28"/>
                <w:lang w:val="en-US" w:eastAsia="zh-CN"/>
              </w:rPr>
              <w:t>50万元</w:t>
            </w:r>
          </w:p>
        </w:tc>
        <w:tc>
          <w:tcPr>
            <w:tcW w:w="1719" w:type="pct"/>
            <w:gridSpan w:val="4"/>
            <w:vAlign w:val="center"/>
          </w:tcPr>
          <w:p>
            <w:pPr>
              <w:jc w:val="center"/>
              <w:rPr>
                <w:rFonts w:ascii="黑体" w:hAnsi="黑体" w:eastAsia="黑体"/>
                <w:bCs/>
                <w:color w:val="auto"/>
                <w:sz w:val="28"/>
                <w:szCs w:val="28"/>
              </w:rPr>
            </w:pPr>
            <w:r>
              <w:rPr>
                <w:rFonts w:hint="eastAsia" w:ascii="黑体" w:hAnsi="黑体" w:eastAsia="黑体"/>
                <w:bCs/>
                <w:color w:val="auto"/>
                <w:sz w:val="28"/>
                <w:szCs w:val="28"/>
              </w:rPr>
              <w:t>所在学校年度经费投入</w:t>
            </w:r>
          </w:p>
        </w:tc>
        <w:tc>
          <w:tcPr>
            <w:tcW w:w="1055" w:type="pct"/>
            <w:gridSpan w:val="2"/>
            <w:vAlign w:val="center"/>
          </w:tcPr>
          <w:p>
            <w:pPr>
              <w:ind w:firstLine="271" w:firstLineChars="97"/>
              <w:jc w:val="center"/>
              <w:rPr>
                <w:rFonts w:hint="default" w:ascii="楷体" w:hAnsi="楷体" w:eastAsia="楷体"/>
                <w:bCs/>
                <w:color w:val="auto"/>
                <w:sz w:val="28"/>
                <w:szCs w:val="28"/>
                <w:lang w:val="en-US" w:eastAsia="zh-CN"/>
              </w:rPr>
            </w:pPr>
            <w:r>
              <w:rPr>
                <w:rFonts w:hint="eastAsia" w:ascii="楷体" w:hAnsi="楷体" w:eastAsia="楷体"/>
                <w:bCs/>
                <w:color w:val="auto"/>
                <w:sz w:val="28"/>
                <w:szCs w:val="28"/>
                <w:lang w:val="en-US" w:eastAsia="zh-CN"/>
              </w:rPr>
              <w:t>106万元</w:t>
            </w:r>
          </w:p>
        </w:tc>
      </w:tr>
    </w:tbl>
    <w:p>
      <w:pPr>
        <w:ind w:firstLine="470" w:firstLineChars="196"/>
        <w:rPr>
          <w:rFonts w:hint="eastAsia" w:ascii="楷体" w:hAnsi="楷体" w:eastAsia="楷体"/>
          <w:bCs/>
          <w:color w:val="auto"/>
        </w:rPr>
      </w:pPr>
      <w:r>
        <w:rPr>
          <w:rFonts w:hint="eastAsia" w:ascii="楷体" w:hAnsi="楷体" w:eastAsia="楷体"/>
          <w:bCs/>
          <w:color w:val="auto"/>
        </w:rPr>
        <w:t>注：（1）表中所有名称都必须填写全称。（2）主管部门：所在学校的上级主管部门，可查询教育部发展规划司全国高等学校名单。</w:t>
      </w:r>
    </w:p>
    <w:p>
      <w:pPr>
        <w:numPr>
          <w:ilvl w:val="0"/>
          <w:numId w:val="3"/>
        </w:numPr>
        <w:spacing w:before="163" w:beforeLines="50"/>
        <w:ind w:firstLine="630" w:firstLineChars="196"/>
        <w:rPr>
          <w:rFonts w:hint="eastAsia" w:ascii="黑体" w:hAnsi="黑体" w:eastAsia="黑体" w:cs="仿宋_GB2312"/>
          <w:b/>
          <w:bCs/>
          <w:color w:val="auto"/>
          <w:sz w:val="32"/>
          <w:szCs w:val="32"/>
        </w:rPr>
      </w:pPr>
      <w:r>
        <w:rPr>
          <w:rFonts w:hint="eastAsia" w:ascii="黑体" w:hAnsi="黑体" w:eastAsia="黑体" w:cs="仿宋_GB2312"/>
          <w:b/>
          <w:bCs/>
          <w:color w:val="auto"/>
          <w:sz w:val="32"/>
          <w:szCs w:val="32"/>
        </w:rPr>
        <w:t>人才队伍基本情况</w:t>
      </w:r>
    </w:p>
    <w:p>
      <w:pPr>
        <w:numPr>
          <w:ilvl w:val="0"/>
          <w:numId w:val="4"/>
        </w:numPr>
        <w:spacing w:before="163" w:beforeLines="50"/>
        <w:rPr>
          <w:rFonts w:hint="eastAsia" w:ascii="黑体" w:hAnsi="黑体" w:eastAsia="黑体" w:cs="仿宋_GB2312"/>
          <w:bCs/>
          <w:color w:val="auto"/>
          <w:sz w:val="28"/>
          <w:szCs w:val="28"/>
        </w:rPr>
      </w:pPr>
      <w:r>
        <w:rPr>
          <w:rFonts w:hint="eastAsia" w:ascii="黑体" w:hAnsi="黑体" w:eastAsia="黑体"/>
          <w:bCs/>
          <w:color w:val="auto"/>
          <w:sz w:val="28"/>
          <w:szCs w:val="28"/>
        </w:rPr>
        <w:t>本年度</w:t>
      </w:r>
      <w:r>
        <w:rPr>
          <w:rFonts w:hint="eastAsia" w:ascii="黑体" w:hAnsi="黑体" w:eastAsia="黑体" w:cs="仿宋_GB2312"/>
          <w:bCs/>
          <w:color w:val="auto"/>
          <w:sz w:val="28"/>
          <w:szCs w:val="28"/>
        </w:rPr>
        <w:t>固定人员情况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94"/>
        <w:gridCol w:w="1068"/>
        <w:gridCol w:w="794"/>
        <w:gridCol w:w="1341"/>
        <w:gridCol w:w="1068"/>
        <w:gridCol w:w="1068"/>
        <w:gridCol w:w="794"/>
        <w:gridCol w:w="794"/>
        <w:gridCol w:w="7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vAlign w:val="center"/>
          </w:tcPr>
          <w:p>
            <w:pPr>
              <w:jc w:val="center"/>
              <w:rPr>
                <w:rFonts w:ascii="黑体" w:hAnsi="黑体" w:eastAsia="黑体" w:cs="宋体"/>
              </w:rPr>
            </w:pPr>
            <w:r>
              <w:rPr>
                <w:rFonts w:hint="eastAsia" w:ascii="黑体" w:hAnsi="黑体" w:eastAsia="黑体" w:cs="宋体"/>
              </w:rPr>
              <w:t>序号</w:t>
            </w:r>
          </w:p>
        </w:tc>
        <w:tc>
          <w:tcPr>
            <w:tcW w:w="627" w:type="pct"/>
            <w:vAlign w:val="center"/>
          </w:tcPr>
          <w:p>
            <w:pPr>
              <w:jc w:val="center"/>
              <w:rPr>
                <w:rFonts w:ascii="黑体" w:hAnsi="黑体" w:eastAsia="黑体" w:cs="宋体"/>
              </w:rPr>
            </w:pPr>
            <w:r>
              <w:rPr>
                <w:rFonts w:hint="eastAsia" w:ascii="黑体" w:hAnsi="黑体" w:eastAsia="黑体" w:cs="宋体"/>
              </w:rPr>
              <w:t>姓名</w:t>
            </w:r>
          </w:p>
        </w:tc>
        <w:tc>
          <w:tcPr>
            <w:tcW w:w="466" w:type="pct"/>
            <w:vAlign w:val="center"/>
          </w:tcPr>
          <w:p>
            <w:pPr>
              <w:jc w:val="center"/>
              <w:rPr>
                <w:rFonts w:ascii="黑体" w:hAnsi="黑体" w:eastAsia="黑体" w:cs="宋体"/>
              </w:rPr>
            </w:pPr>
            <w:r>
              <w:rPr>
                <w:rFonts w:hint="eastAsia" w:ascii="黑体" w:hAnsi="黑体" w:eastAsia="黑体" w:cs="宋体"/>
              </w:rPr>
              <w:t>性别</w:t>
            </w:r>
          </w:p>
        </w:tc>
        <w:tc>
          <w:tcPr>
            <w:tcW w:w="787" w:type="pct"/>
            <w:vAlign w:val="center"/>
          </w:tcPr>
          <w:p>
            <w:pPr>
              <w:jc w:val="center"/>
              <w:rPr>
                <w:rFonts w:ascii="黑体" w:hAnsi="黑体" w:eastAsia="黑体" w:cs="宋体"/>
              </w:rPr>
            </w:pPr>
            <w:r>
              <w:rPr>
                <w:rFonts w:hint="eastAsia" w:ascii="黑体" w:hAnsi="黑体" w:eastAsia="黑体" w:cs="宋体"/>
              </w:rPr>
              <w:t>出生年份</w:t>
            </w:r>
          </w:p>
        </w:tc>
        <w:tc>
          <w:tcPr>
            <w:tcW w:w="627" w:type="pct"/>
            <w:vAlign w:val="center"/>
          </w:tcPr>
          <w:p>
            <w:pPr>
              <w:jc w:val="center"/>
              <w:rPr>
                <w:rFonts w:ascii="黑体" w:hAnsi="黑体" w:eastAsia="黑体" w:cs="宋体"/>
              </w:rPr>
            </w:pPr>
            <w:r>
              <w:rPr>
                <w:rFonts w:hint="eastAsia" w:ascii="黑体" w:hAnsi="黑体" w:eastAsia="黑体" w:cs="宋体"/>
              </w:rPr>
              <w:t>职称</w:t>
            </w:r>
          </w:p>
        </w:tc>
        <w:tc>
          <w:tcPr>
            <w:tcW w:w="627" w:type="pct"/>
            <w:vAlign w:val="center"/>
          </w:tcPr>
          <w:p>
            <w:pPr>
              <w:jc w:val="center"/>
              <w:rPr>
                <w:rFonts w:ascii="黑体" w:hAnsi="黑体" w:eastAsia="黑体" w:cs="宋体"/>
              </w:rPr>
            </w:pPr>
            <w:r>
              <w:rPr>
                <w:rFonts w:hint="eastAsia" w:ascii="黑体" w:hAnsi="黑体" w:eastAsia="黑体" w:cs="宋体"/>
              </w:rPr>
              <w:t>职务</w:t>
            </w:r>
          </w:p>
        </w:tc>
        <w:tc>
          <w:tcPr>
            <w:tcW w:w="466" w:type="pct"/>
            <w:vAlign w:val="center"/>
          </w:tcPr>
          <w:p>
            <w:pPr>
              <w:jc w:val="center"/>
              <w:rPr>
                <w:rFonts w:ascii="黑体" w:hAnsi="黑体" w:eastAsia="黑体" w:cs="宋体"/>
              </w:rPr>
            </w:pPr>
            <w:r>
              <w:rPr>
                <w:rFonts w:hint="eastAsia" w:ascii="黑体" w:hAnsi="黑体" w:eastAsia="黑体" w:cs="宋体"/>
              </w:rPr>
              <w:t>工作</w:t>
            </w:r>
          </w:p>
          <w:p>
            <w:pPr>
              <w:jc w:val="center"/>
              <w:rPr>
                <w:rFonts w:ascii="黑体" w:hAnsi="黑体" w:eastAsia="黑体" w:cs="宋体"/>
              </w:rPr>
            </w:pPr>
            <w:r>
              <w:rPr>
                <w:rFonts w:hint="eastAsia" w:ascii="黑体" w:hAnsi="黑体" w:eastAsia="黑体" w:cs="宋体"/>
              </w:rPr>
              <w:t>性质</w:t>
            </w:r>
          </w:p>
        </w:tc>
        <w:tc>
          <w:tcPr>
            <w:tcW w:w="466" w:type="pct"/>
            <w:vAlign w:val="center"/>
          </w:tcPr>
          <w:p>
            <w:pPr>
              <w:jc w:val="center"/>
              <w:rPr>
                <w:rFonts w:ascii="黑体" w:hAnsi="黑体" w:eastAsia="黑体" w:cs="宋体"/>
              </w:rPr>
            </w:pPr>
            <w:r>
              <w:rPr>
                <w:rFonts w:hint="eastAsia" w:ascii="黑体" w:hAnsi="黑体" w:eastAsia="黑体" w:cs="宋体"/>
              </w:rPr>
              <w:t>学位</w:t>
            </w:r>
          </w:p>
        </w:tc>
        <w:tc>
          <w:tcPr>
            <w:tcW w:w="466" w:type="pct"/>
            <w:vAlign w:val="center"/>
          </w:tcPr>
          <w:p>
            <w:pPr>
              <w:jc w:val="center"/>
              <w:rPr>
                <w:rFonts w:ascii="黑体" w:hAnsi="黑体" w:eastAsia="黑体" w:cs="宋体"/>
              </w:rPr>
            </w:pPr>
            <w:r>
              <w:rPr>
                <w:rFonts w:hint="eastAsia" w:ascii="黑体" w:hAnsi="黑体" w:eastAsia="黑体" w:cs="宋体"/>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于立河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1960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主任</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管理</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郭永霞</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1970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副主任</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管理</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张玉先</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1968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sz w:val="21"/>
                <w:szCs w:val="21"/>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左豫虎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杨克军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王  鹏</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范文艳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杜吉到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徐晶宇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孙晓丽</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殷奎德</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梁喜龙</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郭  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孙明哲</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1990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赵长江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eastAsia="zh-CN"/>
              </w:rPr>
              <w:t>正</w:t>
            </w:r>
            <w:r>
              <w:rPr>
                <w:rFonts w:hint="eastAsia" w:cs="宋体" w:asciiTheme="minorEastAsia" w:hAnsiTheme="minorEastAsia"/>
                <w:sz w:val="21"/>
                <w:szCs w:val="21"/>
              </w:rPr>
              <w:t>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李红宇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eastAsia="zh-CN"/>
              </w:rPr>
              <w:t>正</w:t>
            </w:r>
            <w:r>
              <w:rPr>
                <w:rFonts w:hint="eastAsia" w:cs="宋体" w:asciiTheme="minorEastAsia" w:hAnsiTheme="minorEastAsia"/>
                <w:sz w:val="21"/>
                <w:szCs w:val="21"/>
              </w:rPr>
              <w:t>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高树仁</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孔祥清</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王丽艳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李海燕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姜述君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台莲梅</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贝丽霞</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张美萍</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张兴梅</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钱永德</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郭晓红</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1980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张亚玲</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eastAsia="zh-CN"/>
              </w:rPr>
              <w:t>正</w:t>
            </w:r>
            <w:r>
              <w:rPr>
                <w:rFonts w:hint="eastAsia" w:cs="宋体" w:asciiTheme="minorEastAsia" w:hAnsiTheme="minorEastAsia"/>
                <w:sz w:val="21"/>
                <w:szCs w:val="21"/>
              </w:rPr>
              <w:t>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吕艳东</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研究</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杨凤军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1972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王洪义</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纪鹏</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盛云燕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廉华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1970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靳亚忠</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1975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马光恕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1969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正高级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none"/>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highlight w:val="none"/>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kern w:val="2"/>
                <w:sz w:val="21"/>
                <w:szCs w:val="21"/>
                <w:highlight w:val="none"/>
                <w:lang w:val="en-US" w:eastAsia="zh-CN" w:bidi="ar-SA"/>
              </w:rPr>
              <w:t>冯永祥</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kern w:val="2"/>
                <w:sz w:val="21"/>
                <w:szCs w:val="21"/>
                <w:highlight w:val="none"/>
                <w:lang w:val="en-US" w:eastAsia="zh-CN" w:bidi="ar-SA"/>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kern w:val="2"/>
                <w:sz w:val="21"/>
                <w:szCs w:val="21"/>
                <w:highlight w:val="none"/>
                <w:lang w:val="en-US" w:eastAsia="zh-CN" w:bidi="ar-SA"/>
              </w:rPr>
              <w:t>1970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kern w:val="2"/>
                <w:sz w:val="21"/>
                <w:szCs w:val="21"/>
                <w:highlight w:val="none"/>
                <w:lang w:val="en-US" w:eastAsia="zh-CN" w:bidi="ar-SA"/>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none"/>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highlight w:val="none"/>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王玉凤</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苗兴芬</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刘丽华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汪秀志</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林志伟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 xml:space="preserve">硕士 </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郑  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管理</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张海燕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韩文革</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1966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学士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highlight w:val="red"/>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金永玲</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王孟雪</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管理</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张有利</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金光辉</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焦  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薛</w:t>
            </w:r>
            <w:r>
              <w:rPr>
                <w:rFonts w:hint="eastAsia" w:cs="宋体" w:asciiTheme="minorEastAsia" w:hAnsiTheme="minorEastAsia"/>
                <w:sz w:val="21"/>
                <w:szCs w:val="21"/>
                <w:lang w:eastAsia="zh-CN"/>
              </w:rPr>
              <w:t>盈</w:t>
            </w:r>
            <w:r>
              <w:rPr>
                <w:rFonts w:hint="eastAsia" w:cs="宋体" w:asciiTheme="minorEastAsia" w:hAnsiTheme="minorEastAsia"/>
                <w:sz w:val="21"/>
                <w:szCs w:val="21"/>
              </w:rPr>
              <w:t>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研究</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金喜军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研究</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孙海燕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孙丽芳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1981</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张翼飞</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于  崧</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王士强</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于立红</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刘春梅</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张明聪</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贺  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张文慧</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柯希望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王智慧</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李丹丹</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1981</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王茹华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景艳莉</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1974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高玉刚</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于高波</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吴瑕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刘芳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1980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张涛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杨丽娟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副高级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eastAsia="zh-C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慕庆峰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洪艳华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何淑萍</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鞠世杰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王  宁</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王  霞</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姜丽丽</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研究</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殷大伟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殷丽华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范名宇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徐晓丹</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付</w:t>
            </w:r>
            <w:r>
              <w:rPr>
                <w:rFonts w:hint="eastAsia" w:cs="宋体" w:asciiTheme="minorEastAsia" w:hAnsiTheme="minorEastAsia"/>
                <w:sz w:val="21"/>
                <w:szCs w:val="21"/>
                <w:lang w:val="en-US" w:eastAsia="zh-CN"/>
              </w:rPr>
              <w:t xml:space="preserve">  </w:t>
            </w:r>
            <w:r>
              <w:rPr>
                <w:rFonts w:hint="eastAsia" w:cs="宋体" w:asciiTheme="minorEastAsia" w:hAnsiTheme="minorEastAsia"/>
                <w:sz w:val="21"/>
                <w:szCs w:val="21"/>
              </w:rPr>
              <w:t>健</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周园园</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sz w:val="21"/>
                <w:szCs w:val="21"/>
                <w:lang w:eastAsia="zh-CN"/>
              </w:rPr>
              <w:t>贾博为</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sz w:val="21"/>
                <w:szCs w:val="21"/>
                <w:lang w:eastAsia="zh-CN"/>
              </w:rPr>
            </w:pPr>
            <w:r>
              <w:rPr>
                <w:rFonts w:hint="eastAsia" w:cs="宋体" w:asciiTheme="minorEastAsia" w:hAnsiTheme="minorEastAsia"/>
                <w:sz w:val="21"/>
                <w:szCs w:val="21"/>
                <w:lang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sz w:val="21"/>
                <w:szCs w:val="21"/>
                <w:lang w:val="en-US" w:eastAsia="zh-CN"/>
              </w:rPr>
              <w:t>1990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sz w:val="21"/>
                <w:szCs w:val="21"/>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sz w:val="21"/>
                <w:szCs w:val="21"/>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sz w:val="21"/>
                <w:szCs w:val="21"/>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任春元</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邓  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1990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杜艳丽</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1993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赵</w:t>
            </w:r>
            <w:r>
              <w:rPr>
                <w:rFonts w:hint="eastAsia" w:cs="宋体" w:asciiTheme="minorEastAsia" w:hAnsiTheme="minorEastAsia"/>
                <w:sz w:val="21"/>
                <w:szCs w:val="21"/>
                <w:lang w:val="en-US" w:eastAsia="zh-CN"/>
              </w:rPr>
              <w:t xml:space="preserve">  </w:t>
            </w:r>
            <w:r>
              <w:rPr>
                <w:rFonts w:hint="eastAsia" w:cs="宋体" w:asciiTheme="minorEastAsia" w:hAnsiTheme="minorEastAsia"/>
                <w:sz w:val="21"/>
                <w:szCs w:val="21"/>
              </w:rPr>
              <w:t>强</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曹</w:t>
            </w:r>
            <w:r>
              <w:rPr>
                <w:rFonts w:hint="eastAsia" w:cs="宋体" w:asciiTheme="minorEastAsia" w:hAnsiTheme="minorEastAsia"/>
                <w:sz w:val="21"/>
                <w:szCs w:val="21"/>
                <w:lang w:val="en-US" w:eastAsia="zh-CN"/>
              </w:rPr>
              <w:t xml:space="preserve">  </w:t>
            </w:r>
            <w:r>
              <w:rPr>
                <w:rFonts w:hint="eastAsia" w:cs="宋体" w:asciiTheme="minorEastAsia" w:hAnsiTheme="minorEastAsia"/>
                <w:sz w:val="21"/>
                <w:szCs w:val="21"/>
              </w:rPr>
              <w:t>亮</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姚</w:t>
            </w:r>
            <w:r>
              <w:rPr>
                <w:rFonts w:hint="eastAsia" w:cs="宋体" w:asciiTheme="minorEastAsia" w:hAnsiTheme="minorEastAsia"/>
                <w:sz w:val="21"/>
                <w:szCs w:val="21"/>
                <w:lang w:val="en-US" w:eastAsia="zh-CN"/>
              </w:rPr>
              <w:t xml:space="preserve">  </w:t>
            </w:r>
            <w:r>
              <w:rPr>
                <w:rFonts w:hint="eastAsia" w:cs="宋体" w:asciiTheme="minorEastAsia" w:hAnsiTheme="minorEastAsia"/>
                <w:sz w:val="21"/>
                <w:szCs w:val="21"/>
              </w:rPr>
              <w:t>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1990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刘金彪</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刘</w:t>
            </w:r>
            <w:r>
              <w:rPr>
                <w:rFonts w:hint="eastAsia" w:cs="宋体" w:asciiTheme="minorEastAsia" w:hAnsiTheme="minorEastAsia"/>
                <w:sz w:val="21"/>
                <w:szCs w:val="21"/>
                <w:lang w:val="en-US" w:eastAsia="zh-CN"/>
              </w:rPr>
              <w:t xml:space="preserve">  </w:t>
            </w:r>
            <w:r>
              <w:rPr>
                <w:rFonts w:hint="eastAsia" w:cs="宋体" w:asciiTheme="minorEastAsia" w:hAnsiTheme="minorEastAsia"/>
                <w:sz w:val="21"/>
                <w:szCs w:val="21"/>
              </w:rPr>
              <w:t>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宋</w:t>
            </w:r>
            <w:r>
              <w:rPr>
                <w:rFonts w:hint="eastAsia" w:cs="宋体" w:asciiTheme="minorEastAsia" w:hAnsiTheme="minorEastAsia"/>
                <w:sz w:val="21"/>
                <w:szCs w:val="21"/>
                <w:lang w:val="en-US" w:eastAsia="zh-CN"/>
              </w:rPr>
              <w:t xml:space="preserve">  </w:t>
            </w:r>
            <w:r>
              <w:rPr>
                <w:rFonts w:hint="eastAsia" w:cs="宋体" w:asciiTheme="minorEastAsia" w:hAnsiTheme="minorEastAsia"/>
                <w:sz w:val="21"/>
                <w:szCs w:val="21"/>
              </w:rPr>
              <w:t>洁</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何晓蕾</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 xml:space="preserve">1981 </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jc w:val="left"/>
              <w:textAlignment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杨德威</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 xml:space="preserve">1971 </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jc w:val="left"/>
              <w:textAlignment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刘青峰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 xml:space="preserve">1976 </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jc w:val="left"/>
              <w:textAlignment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王彦宏</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 xml:space="preserve">1977 </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jc w:val="left"/>
              <w:textAlignment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eastAsia="zh-CN"/>
              </w:rPr>
              <w:t>范博文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eastAsia="zh-CN"/>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val="en-US" w:eastAsia="zh-CN"/>
              </w:rPr>
              <w:t>1992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lang w:eastAsia="zh-CN"/>
              </w:rPr>
              <w:t>中级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jc w:val="left"/>
              <w:textAlignment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陆</w:t>
            </w:r>
            <w:r>
              <w:rPr>
                <w:rFonts w:hint="eastAsia" w:cs="宋体" w:asciiTheme="minorEastAsia" w:hAnsiTheme="minorEastAsia"/>
                <w:sz w:val="21"/>
                <w:szCs w:val="21"/>
                <w:lang w:val="en-US" w:eastAsia="zh-CN"/>
              </w:rPr>
              <w:t xml:space="preserve">  </w:t>
            </w:r>
            <w:r>
              <w:rPr>
                <w:rFonts w:hint="eastAsia" w:cs="宋体" w:asciiTheme="minorEastAsia" w:hAnsiTheme="minorEastAsia"/>
                <w:sz w:val="21"/>
                <w:szCs w:val="21"/>
              </w:rPr>
              <w:t>磊</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女</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1994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初级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jc w:val="left"/>
              <w:textAlignment w:val="center"/>
              <w:rPr>
                <w:rFonts w:cs="宋体" w:asciiTheme="minorEastAsia" w:hAnsiTheme="minorEastAsia" w:eastAsiaTheme="minorEastAsia"/>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pStyle w:val="29"/>
              <w:numPr>
                <w:ilvl w:val="0"/>
                <w:numId w:val="5"/>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kern w:val="2"/>
                <w:sz w:val="21"/>
                <w:szCs w:val="21"/>
                <w:lang w:val="en-US" w:eastAsia="zh-CN" w:bidi="ar-SA"/>
              </w:rPr>
              <w:t>张君鸣</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kern w:val="2"/>
                <w:sz w:val="21"/>
                <w:szCs w:val="21"/>
                <w:lang w:val="en-US" w:eastAsia="zh-CN" w:bidi="ar-SA"/>
              </w:rPr>
              <w:t>男</w:t>
            </w:r>
          </w:p>
        </w:tc>
        <w:tc>
          <w:tcPr>
            <w:tcW w:w="78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cs="宋体" w:asciiTheme="minorEastAsia" w:hAnsiTheme="minorEastAsia" w:eastAsiaTheme="minorEastAsia"/>
                <w:kern w:val="2"/>
                <w:sz w:val="21"/>
                <w:szCs w:val="21"/>
                <w:lang w:val="en-US" w:eastAsia="zh-CN" w:bidi="ar-SA"/>
              </w:rPr>
            </w:pPr>
            <w:r>
              <w:rPr>
                <w:rFonts w:hint="eastAsia" w:cs="宋体" w:asciiTheme="minorEastAsia" w:hAnsiTheme="minorEastAsia"/>
                <w:kern w:val="2"/>
                <w:sz w:val="21"/>
                <w:szCs w:val="21"/>
                <w:lang w:val="en-US" w:eastAsia="zh-CN" w:bidi="ar-SA"/>
              </w:rPr>
              <w:t>1995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kern w:val="2"/>
                <w:sz w:val="21"/>
                <w:szCs w:val="21"/>
                <w:lang w:val="en-US" w:eastAsia="zh-CN" w:bidi="ar-SA"/>
              </w:rPr>
              <w:t>初级</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 w:val="21"/>
                <w:szCs w:val="21"/>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宋体" w:asciiTheme="minorEastAsia" w:hAnsiTheme="minorEastAsia" w:eastAsiaTheme="minorEastAsia"/>
                <w:kern w:val="2"/>
                <w:sz w:val="21"/>
                <w:szCs w:val="21"/>
                <w:lang w:val="en-US" w:eastAsia="zh-CN" w:bidi="ar-SA"/>
              </w:rPr>
            </w:pPr>
          </w:p>
        </w:tc>
      </w:tr>
    </w:tbl>
    <w:p>
      <w:pPr>
        <w:spacing w:before="163" w:beforeLines="50"/>
        <w:ind w:firstLine="480" w:firstLineChars="200"/>
        <w:rPr>
          <w:rFonts w:ascii="楷体" w:hAnsi="楷体" w:eastAsia="楷体"/>
          <w:color w:val="auto"/>
        </w:rPr>
      </w:pPr>
      <w:r>
        <w:rPr>
          <w:rFonts w:hint="eastAsia" w:ascii="楷体" w:hAnsi="楷体" w:eastAsia="楷体" w:cs="仿宋_GB2312"/>
          <w:bCs/>
          <w:color w:val="auto"/>
        </w:rPr>
        <w:t>注：（1）</w:t>
      </w:r>
      <w:r>
        <w:rPr>
          <w:rFonts w:hint="eastAsia" w:ascii="楷体" w:hAnsi="楷体" w:eastAsia="楷体" w:cs="仿宋_GB2312"/>
          <w:color w:val="auto"/>
        </w:rPr>
        <w:t>固定人员：指高等学校聘用的聘期2年以上的全职人员，包括教学、技术和管理人员。（2）</w:t>
      </w:r>
      <w:r>
        <w:rPr>
          <w:rFonts w:hint="eastAsia" w:ascii="楷体" w:hAnsi="楷体" w:eastAsia="楷体" w:cs="宋体"/>
          <w:bCs/>
          <w:color w:val="auto"/>
        </w:rPr>
        <w:t>示范中心职务：</w:t>
      </w:r>
      <w:r>
        <w:rPr>
          <w:rFonts w:hint="eastAsia" w:ascii="楷体" w:hAnsi="楷体" w:eastAsia="楷体"/>
          <w:color w:val="auto"/>
        </w:rPr>
        <w:t>示范中心主任、副主任。（3）</w:t>
      </w:r>
      <w:r>
        <w:rPr>
          <w:rFonts w:hint="eastAsia" w:ascii="楷体" w:hAnsi="楷体" w:eastAsia="楷体" w:cs="宋体"/>
          <w:bCs/>
          <w:color w:val="auto"/>
        </w:rPr>
        <w:t>工作性质：</w:t>
      </w:r>
      <w:r>
        <w:rPr>
          <w:rFonts w:hint="eastAsia" w:ascii="楷体" w:hAnsi="楷体" w:eastAsia="楷体"/>
          <w:color w:val="auto"/>
        </w:rPr>
        <w:t>教学、技术、管理、其他。具有多种性质的，选填其中主要工作性质即可。（4）</w:t>
      </w:r>
      <w:r>
        <w:rPr>
          <w:rFonts w:ascii="楷体" w:hAnsi="楷体" w:eastAsia="楷体" w:cs="宋体"/>
          <w:bCs/>
          <w:color w:val="auto"/>
        </w:rPr>
        <w:t>学位：</w:t>
      </w:r>
      <w:r>
        <w:rPr>
          <w:rFonts w:ascii="楷体" w:hAnsi="楷体" w:eastAsia="楷体"/>
          <w:color w:val="auto"/>
        </w:rPr>
        <w:t>博士、硕士、学士、其</w:t>
      </w:r>
      <w:r>
        <w:rPr>
          <w:rFonts w:hint="eastAsia" w:ascii="楷体" w:hAnsi="楷体" w:eastAsia="楷体"/>
          <w:color w:val="auto"/>
        </w:rPr>
        <w:t>他</w:t>
      </w:r>
      <w:r>
        <w:rPr>
          <w:rFonts w:ascii="楷体" w:hAnsi="楷体" w:eastAsia="楷体"/>
          <w:color w:val="auto"/>
        </w:rPr>
        <w:t>，一般以学位证书为准</w:t>
      </w:r>
      <w:r>
        <w:rPr>
          <w:rFonts w:hint="eastAsia" w:ascii="楷体" w:hAnsi="楷体" w:eastAsia="楷体"/>
          <w:color w:val="auto"/>
        </w:rPr>
        <w:t>。（5）</w:t>
      </w:r>
      <w:r>
        <w:rPr>
          <w:rFonts w:hint="eastAsia" w:ascii="楷体" w:hAnsi="楷体" w:eastAsia="楷体"/>
          <w:bCs/>
          <w:color w:val="auto"/>
        </w:rPr>
        <w:t>备注：</w:t>
      </w:r>
      <w:r>
        <w:rPr>
          <w:rFonts w:hint="eastAsia" w:ascii="楷体" w:hAnsi="楷体" w:eastAsia="楷体"/>
          <w:color w:val="auto"/>
        </w:rPr>
        <w:t>是否院士、博士生导师、杰出青年基金获得者、长江学者等，获得时间。</w:t>
      </w:r>
    </w:p>
    <w:p>
      <w:pPr>
        <w:spacing w:before="163" w:beforeLines="50" w:after="163" w:afterLines="50"/>
        <w:ind w:firstLine="560" w:firstLineChars="200"/>
        <w:rPr>
          <w:rFonts w:ascii="黑体" w:hAnsi="黑体" w:eastAsia="黑体"/>
          <w:color w:val="auto"/>
          <w:sz w:val="28"/>
          <w:szCs w:val="28"/>
        </w:rPr>
      </w:pPr>
      <w:r>
        <w:rPr>
          <w:rFonts w:hint="eastAsia" w:ascii="黑体" w:hAnsi="黑体" w:eastAsia="黑体"/>
          <w:bCs/>
          <w:color w:val="auto"/>
          <w:sz w:val="28"/>
          <w:szCs w:val="28"/>
        </w:rPr>
        <w:t>（二）</w:t>
      </w:r>
      <w:r>
        <w:rPr>
          <w:rFonts w:hint="eastAsia" w:ascii="黑体" w:hAnsi="黑体" w:eastAsia="黑体"/>
          <w:color w:val="auto"/>
          <w:sz w:val="28"/>
          <w:szCs w:val="28"/>
        </w:rPr>
        <w:t>本年度流动人员情况</w:t>
      </w:r>
    </w:p>
    <w:tbl>
      <w:tblPr>
        <w:tblStyle w:val="7"/>
        <w:tblW w:w="8364" w:type="dxa"/>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920"/>
        <w:gridCol w:w="763"/>
        <w:gridCol w:w="1250"/>
        <w:gridCol w:w="862"/>
        <w:gridCol w:w="741"/>
        <w:gridCol w:w="1276"/>
        <w:gridCol w:w="850"/>
        <w:gridCol w:w="993"/>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92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763"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125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862"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7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工作性质</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学位</w:t>
            </w:r>
          </w:p>
        </w:tc>
        <w:tc>
          <w:tcPr>
            <w:tcW w:w="993" w:type="dxa"/>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1</w:t>
            </w:r>
          </w:p>
        </w:tc>
        <w:tc>
          <w:tcPr>
            <w:tcW w:w="9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陈温福</w:t>
            </w:r>
          </w:p>
        </w:tc>
        <w:tc>
          <w:tcPr>
            <w:tcW w:w="76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男</w:t>
            </w:r>
          </w:p>
        </w:tc>
        <w:tc>
          <w:tcPr>
            <w:tcW w:w="125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1955</w:t>
            </w:r>
          </w:p>
        </w:tc>
        <w:tc>
          <w:tcPr>
            <w:tcW w:w="86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教授</w:t>
            </w:r>
          </w:p>
        </w:tc>
        <w:tc>
          <w:tcPr>
            <w:tcW w:w="74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博士</w:t>
            </w:r>
          </w:p>
        </w:tc>
        <w:tc>
          <w:tcPr>
            <w:tcW w:w="993"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院士</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2</w:t>
            </w:r>
          </w:p>
        </w:tc>
        <w:tc>
          <w:tcPr>
            <w:tcW w:w="9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朱延明</w:t>
            </w:r>
          </w:p>
        </w:tc>
        <w:tc>
          <w:tcPr>
            <w:tcW w:w="76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男</w:t>
            </w:r>
          </w:p>
        </w:tc>
        <w:tc>
          <w:tcPr>
            <w:tcW w:w="125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1955</w:t>
            </w:r>
          </w:p>
        </w:tc>
        <w:tc>
          <w:tcPr>
            <w:tcW w:w="86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教授</w:t>
            </w:r>
          </w:p>
        </w:tc>
        <w:tc>
          <w:tcPr>
            <w:tcW w:w="74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博士</w:t>
            </w:r>
          </w:p>
        </w:tc>
        <w:tc>
          <w:tcPr>
            <w:tcW w:w="993"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王震特聘教授</w:t>
            </w:r>
          </w:p>
        </w:tc>
      </w:tr>
    </w:tbl>
    <w:p>
      <w:pPr>
        <w:spacing w:before="163" w:beforeLines="50"/>
        <w:ind w:firstLine="480" w:firstLineChars="200"/>
        <w:rPr>
          <w:rFonts w:ascii="楷体" w:hAnsi="楷体" w:eastAsia="楷体"/>
          <w:color w:val="auto"/>
        </w:rPr>
      </w:pPr>
      <w:r>
        <w:rPr>
          <w:rFonts w:hint="eastAsia" w:ascii="楷体" w:hAnsi="楷体" w:eastAsia="楷体"/>
          <w:color w:val="auto"/>
        </w:rPr>
        <w:t>注：（1）流动人员包括校内兼职人员、行业企业人员、海内外合作教学人员等。（2）工作期限：在示范中心工作的协议起止时间。</w:t>
      </w:r>
    </w:p>
    <w:p>
      <w:pPr>
        <w:spacing w:before="163" w:beforeLines="50" w:after="163" w:afterLines="50"/>
        <w:ind w:firstLine="560" w:firstLineChars="200"/>
        <w:rPr>
          <w:rFonts w:ascii="黑体" w:hAnsi="黑体" w:eastAsia="黑体" w:cs="仿宋_GB2312"/>
          <w:bCs/>
          <w:color w:val="auto"/>
          <w:sz w:val="28"/>
          <w:szCs w:val="28"/>
        </w:rPr>
      </w:pPr>
      <w:r>
        <w:rPr>
          <w:rFonts w:hint="eastAsia" w:ascii="黑体" w:hAnsi="黑体" w:eastAsia="黑体"/>
          <w:color w:val="auto"/>
          <w:sz w:val="28"/>
          <w:szCs w:val="28"/>
        </w:rPr>
        <w:t>（</w:t>
      </w:r>
      <w:r>
        <w:rPr>
          <w:rFonts w:hint="eastAsia" w:ascii="黑体" w:hAnsi="黑体" w:eastAsia="黑体"/>
          <w:color w:val="auto"/>
          <w:sz w:val="28"/>
          <w:szCs w:val="28"/>
          <w:lang w:val="en-US" w:eastAsia="zh-CN"/>
        </w:rPr>
        <w:t>三</w:t>
      </w:r>
      <w:r>
        <w:rPr>
          <w:rFonts w:hint="eastAsia" w:ascii="黑体" w:hAnsi="黑体" w:eastAsia="黑体"/>
          <w:color w:val="auto"/>
          <w:sz w:val="28"/>
          <w:szCs w:val="28"/>
        </w:rPr>
        <w:t>）本年度</w:t>
      </w:r>
      <w:r>
        <w:rPr>
          <w:rFonts w:hint="eastAsia" w:ascii="黑体" w:hAnsi="黑体" w:eastAsia="黑体" w:cs="仿宋_GB2312"/>
          <w:bCs/>
          <w:color w:val="auto"/>
          <w:sz w:val="28"/>
          <w:szCs w:val="28"/>
        </w:rPr>
        <w:t>教学指导委员会人员情况</w:t>
      </w:r>
    </w:p>
    <w:tbl>
      <w:tblPr>
        <w:tblStyle w:val="7"/>
        <w:tblW w:w="9495" w:type="dxa"/>
        <w:jc w:val="center"/>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8"/>
        <w:gridCol w:w="757"/>
        <w:gridCol w:w="735"/>
        <w:gridCol w:w="1230"/>
        <w:gridCol w:w="810"/>
        <w:gridCol w:w="701"/>
        <w:gridCol w:w="756"/>
        <w:gridCol w:w="1574"/>
        <w:gridCol w:w="971"/>
        <w:gridCol w:w="1253"/>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1</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Cs/>
                <w:kern w:val="2"/>
                <w:sz w:val="18"/>
                <w:szCs w:val="18"/>
                <w:lang w:val="en-US" w:eastAsia="zh-CN" w:bidi="ar-SA"/>
              </w:rPr>
            </w:pPr>
            <w:r>
              <w:rPr>
                <w:rFonts w:hint="eastAsia" w:ascii="宋体" w:hAnsi="宋体" w:eastAsia="宋体" w:cs="宋体"/>
                <w:bCs/>
                <w:sz w:val="18"/>
                <w:szCs w:val="18"/>
              </w:rPr>
              <w:t>张林</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1981.03</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主任</w:t>
            </w:r>
          </w:p>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rFonts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东北农业大学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kern w:val="2"/>
                <w:sz w:val="18"/>
                <w:szCs w:val="18"/>
                <w:lang w:val="en-US" w:eastAsia="zh-CN" w:bidi="ar-SA"/>
              </w:rPr>
            </w:pPr>
            <w:r>
              <w:rPr>
                <w:rFonts w:hint="eastAsia" w:ascii="宋体" w:hAnsi="宋体" w:eastAsia="宋体" w:cs="宋体"/>
                <w:bCs/>
                <w:sz w:val="18"/>
                <w:szCs w:val="18"/>
              </w:rPr>
              <w:t>高强</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1966.11</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吉林农</w:t>
            </w:r>
            <w:r>
              <w:rPr>
                <w:rFonts w:hint="eastAsia" w:ascii="宋体" w:hAnsi="宋体" w:eastAsia="宋体" w:cs="宋体"/>
                <w:sz w:val="18"/>
                <w:szCs w:val="18"/>
                <w:lang w:eastAsia="zh-CN"/>
              </w:rPr>
              <w:t>业大学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3</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原向阳</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1981.07</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山西农业大学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Cs/>
                <w:sz w:val="18"/>
                <w:szCs w:val="18"/>
              </w:rPr>
            </w:pPr>
            <w:r>
              <w:rPr>
                <w:rFonts w:hint="eastAsia" w:ascii="宋体" w:hAnsi="宋体" w:eastAsia="宋体" w:cs="宋体"/>
                <w:bCs/>
                <w:sz w:val="18"/>
                <w:szCs w:val="18"/>
              </w:rPr>
              <w:t>路运才</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1969.06</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黑龙江大学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sz w:val="18"/>
                <w:szCs w:val="18"/>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5</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Cs/>
                <w:sz w:val="18"/>
                <w:szCs w:val="18"/>
              </w:rPr>
            </w:pPr>
            <w:r>
              <w:rPr>
                <w:rFonts w:hint="eastAsia" w:ascii="宋体" w:hAnsi="宋体" w:eastAsia="宋体" w:cs="宋体"/>
                <w:bCs/>
                <w:sz w:val="18"/>
                <w:szCs w:val="18"/>
              </w:rPr>
              <w:t>陈长卿</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1978.10</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吉林农</w:t>
            </w:r>
            <w:r>
              <w:rPr>
                <w:rFonts w:hint="eastAsia" w:ascii="宋体" w:hAnsi="宋体" w:eastAsia="宋体" w:cs="宋体"/>
                <w:sz w:val="18"/>
                <w:szCs w:val="18"/>
                <w:lang w:eastAsia="zh-CN"/>
              </w:rPr>
              <w:t>业大学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sz w:val="18"/>
                <w:szCs w:val="18"/>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6</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刘辉</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Theme="minorEastAsia"/>
                <w:sz w:val="18"/>
                <w:szCs w:val="18"/>
                <w:lang w:eastAsia="zh-CN"/>
              </w:rPr>
            </w:pPr>
            <w:r>
              <w:rPr>
                <w:rFonts w:hint="eastAsia" w:eastAsiaTheme="minorEastAsia"/>
                <w:sz w:val="18"/>
                <w:szCs w:val="18"/>
                <w:lang w:eastAsia="zh-CN"/>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1971.04</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Theme="minorEastAsia"/>
                <w:sz w:val="18"/>
                <w:szCs w:val="18"/>
                <w:lang w:eastAsia="zh-CN"/>
              </w:rPr>
            </w:pPr>
            <w:r>
              <w:rPr>
                <w:rFonts w:hint="eastAsia" w:eastAsiaTheme="minorEastAsia"/>
                <w:sz w:val="18"/>
                <w:szCs w:val="18"/>
                <w:lang w:eastAsia="zh-CN"/>
              </w:rPr>
              <w:t>研究员</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北大荒垦丰种业股份有限公司</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hint="eastAsia" w:eastAsiaTheme="minorEastAsia"/>
                <w:sz w:val="18"/>
                <w:szCs w:val="18"/>
                <w:lang w:eastAsia="zh-CN"/>
              </w:rPr>
            </w:pPr>
            <w:r>
              <w:rPr>
                <w:rFonts w:hint="eastAsia" w:eastAsiaTheme="minorEastAsia"/>
                <w:sz w:val="18"/>
                <w:szCs w:val="18"/>
                <w:lang w:eastAsia="zh-CN"/>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7</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bCs/>
                <w:sz w:val="18"/>
                <w:szCs w:val="18"/>
              </w:rPr>
              <w:t>郭永霞</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女</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1970.08</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lang w:eastAsia="zh-CN"/>
              </w:rPr>
              <w:t>黑龙江八一农垦大学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校内专家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1</w:t>
            </w:r>
          </w:p>
        </w:tc>
      </w:tr>
    </w:tbl>
    <w:p>
      <w:pPr>
        <w:spacing w:before="163" w:beforeLines="50"/>
        <w:ind w:firstLine="480" w:firstLineChars="200"/>
        <w:rPr>
          <w:rFonts w:ascii="黑体" w:hAnsi="黑体" w:eastAsia="黑体"/>
          <w:b/>
          <w:bCs/>
          <w:color w:val="auto"/>
          <w:sz w:val="32"/>
          <w:szCs w:val="32"/>
        </w:rPr>
      </w:pPr>
      <w:r>
        <w:rPr>
          <w:rFonts w:hint="eastAsia" w:ascii="楷体" w:hAnsi="楷体" w:eastAsia="楷体" w:cs="仿宋_GB2312"/>
          <w:bCs/>
          <w:color w:val="auto"/>
        </w:rPr>
        <w:t>注：（1）教学指导委员会类型包括校内专家、外校专家、企业专家和外籍专家。（2）职务：包括主任委员和委员两类。（3）参会次数：年度内参加教学指导委员会会议的次数。</w:t>
      </w:r>
    </w:p>
    <w:p>
      <w:pPr>
        <w:ind w:firstLine="643" w:firstLineChars="200"/>
        <w:rPr>
          <w:rFonts w:ascii="黑体" w:hAnsi="黑体" w:eastAsia="黑体"/>
          <w:b/>
          <w:bCs/>
          <w:color w:val="auto"/>
          <w:sz w:val="32"/>
          <w:szCs w:val="32"/>
        </w:rPr>
      </w:pPr>
      <w:r>
        <w:rPr>
          <w:rFonts w:hint="eastAsia" w:ascii="黑体" w:hAnsi="黑体" w:eastAsia="黑体"/>
          <w:b/>
          <w:bCs/>
          <w:color w:val="auto"/>
          <w:sz w:val="32"/>
          <w:szCs w:val="32"/>
        </w:rPr>
        <w:t>三、人才培养情况</w:t>
      </w:r>
    </w:p>
    <w:p>
      <w:pPr>
        <w:spacing w:after="163" w:afterLines="50"/>
        <w:ind w:firstLine="560" w:firstLineChars="200"/>
        <w:rPr>
          <w:rFonts w:ascii="黑体" w:hAnsi="黑体" w:eastAsia="黑体"/>
          <w:bCs/>
          <w:color w:val="auto"/>
          <w:sz w:val="28"/>
          <w:szCs w:val="28"/>
        </w:rPr>
      </w:pPr>
      <w:r>
        <w:rPr>
          <w:rFonts w:hint="eastAsia" w:ascii="黑体" w:hAnsi="黑体" w:eastAsia="黑体"/>
          <w:bCs/>
          <w:color w:val="auto"/>
          <w:sz w:val="28"/>
          <w:szCs w:val="28"/>
        </w:rPr>
        <w:t>（一）示范中心实验教学面向所在学校专业及学生情况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33"/>
        <w:gridCol w:w="3199"/>
        <w:gridCol w:w="2213"/>
        <w:gridCol w:w="1305"/>
        <w:gridCol w:w="9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89" w:type="pct"/>
            <w:vMerge w:val="restart"/>
            <w:vAlign w:val="center"/>
          </w:tcPr>
          <w:p>
            <w:pPr>
              <w:jc w:val="center"/>
              <w:rPr>
                <w:rFonts w:ascii="Times New Roman" w:hAnsi="Times New Roman" w:eastAsia="黑体" w:cs="Times New Roman"/>
                <w:bCs/>
              </w:rPr>
            </w:pPr>
            <w:r>
              <w:rPr>
                <w:rFonts w:ascii="Times New Roman" w:hAnsi="Times New Roman" w:eastAsia="黑体" w:cs="Times New Roman"/>
                <w:bCs/>
              </w:rPr>
              <w:t>序号</w:t>
            </w:r>
          </w:p>
        </w:tc>
        <w:tc>
          <w:tcPr>
            <w:tcW w:w="3177" w:type="pct"/>
            <w:gridSpan w:val="2"/>
            <w:vAlign w:val="center"/>
          </w:tcPr>
          <w:p>
            <w:pPr>
              <w:jc w:val="center"/>
              <w:rPr>
                <w:rFonts w:ascii="Times New Roman" w:hAnsi="Times New Roman" w:eastAsia="黑体" w:cs="Times New Roman"/>
                <w:bCs/>
              </w:rPr>
            </w:pPr>
            <w:r>
              <w:rPr>
                <w:rFonts w:ascii="Times New Roman" w:hAnsi="Times New Roman" w:eastAsia="黑体" w:cs="Times New Roman"/>
                <w:bCs/>
              </w:rPr>
              <w:t>面向的专业</w:t>
            </w:r>
          </w:p>
        </w:tc>
        <w:tc>
          <w:tcPr>
            <w:tcW w:w="766" w:type="pct"/>
            <w:vMerge w:val="restart"/>
            <w:vAlign w:val="center"/>
          </w:tcPr>
          <w:p>
            <w:pPr>
              <w:jc w:val="center"/>
              <w:rPr>
                <w:rFonts w:ascii="Times New Roman" w:hAnsi="Times New Roman" w:eastAsia="黑体" w:cs="Times New Roman"/>
                <w:bCs/>
                <w:color w:val="44546A" w:themeColor="text2"/>
                <w14:textFill>
                  <w14:solidFill>
                    <w14:schemeClr w14:val="tx2"/>
                  </w14:solidFill>
                </w14:textFill>
              </w:rPr>
            </w:pPr>
            <w:r>
              <w:rPr>
                <w:rFonts w:ascii="Times New Roman" w:hAnsi="Times New Roman" w:eastAsia="黑体" w:cs="Times New Roman"/>
                <w:bCs/>
                <w:color w:val="44546A" w:themeColor="text2"/>
                <w14:textFill>
                  <w14:solidFill>
                    <w14:schemeClr w14:val="tx2"/>
                  </w14:solidFill>
                </w14:textFill>
              </w:rPr>
              <w:t>学生人数</w:t>
            </w:r>
          </w:p>
        </w:tc>
        <w:tc>
          <w:tcPr>
            <w:tcW w:w="567" w:type="pct"/>
            <w:vMerge w:val="restart"/>
            <w:vAlign w:val="center"/>
          </w:tcPr>
          <w:p>
            <w:pPr>
              <w:jc w:val="center"/>
              <w:rPr>
                <w:rFonts w:ascii="Times New Roman" w:hAnsi="Times New Roman" w:eastAsia="黑体" w:cs="Times New Roman"/>
                <w:bCs/>
                <w:color w:val="44546A" w:themeColor="text2"/>
                <w14:textFill>
                  <w14:solidFill>
                    <w14:schemeClr w14:val="tx2"/>
                  </w14:solidFill>
                </w14:textFill>
              </w:rPr>
            </w:pPr>
            <w:r>
              <w:rPr>
                <w:rFonts w:ascii="Times New Roman" w:hAnsi="Times New Roman" w:eastAsia="黑体" w:cs="Times New Roman"/>
                <w:bCs/>
                <w:color w:val="44546A" w:themeColor="text2"/>
                <w14:textFill>
                  <w14:solidFill>
                    <w14:schemeClr w14:val="tx2"/>
                  </w14:solidFill>
                </w14:textFill>
              </w:rPr>
              <w:t>人时数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489" w:type="pct"/>
            <w:vMerge w:val="continue"/>
          </w:tcPr>
          <w:p>
            <w:pPr>
              <w:rPr>
                <w:rFonts w:ascii="Times New Roman" w:hAnsi="Times New Roman" w:eastAsia="仿宋" w:cs="Times New Roman"/>
                <w:b/>
                <w:bCs/>
                <w:sz w:val="28"/>
                <w:szCs w:val="28"/>
              </w:rPr>
            </w:pPr>
          </w:p>
        </w:tc>
        <w:tc>
          <w:tcPr>
            <w:tcW w:w="1878" w:type="pct"/>
            <w:vAlign w:val="center"/>
          </w:tcPr>
          <w:p>
            <w:pPr>
              <w:jc w:val="center"/>
              <w:rPr>
                <w:rFonts w:ascii="Times New Roman" w:hAnsi="Times New Roman" w:eastAsia="黑体" w:cs="Times New Roman"/>
                <w:bCs/>
              </w:rPr>
            </w:pPr>
            <w:r>
              <w:rPr>
                <w:rFonts w:ascii="Times New Roman" w:hAnsi="Times New Roman" w:eastAsia="黑体" w:cs="Times New Roman"/>
                <w:bCs/>
              </w:rPr>
              <w:t>专业名称</w:t>
            </w:r>
          </w:p>
        </w:tc>
        <w:tc>
          <w:tcPr>
            <w:tcW w:w="1299" w:type="pct"/>
            <w:vAlign w:val="center"/>
          </w:tcPr>
          <w:p>
            <w:pPr>
              <w:jc w:val="center"/>
              <w:rPr>
                <w:rFonts w:ascii="Times New Roman" w:hAnsi="Times New Roman" w:eastAsia="黑体" w:cs="Times New Roman"/>
                <w:bCs/>
              </w:rPr>
            </w:pPr>
            <w:r>
              <w:rPr>
                <w:rFonts w:ascii="Times New Roman" w:hAnsi="Times New Roman" w:eastAsia="黑体" w:cs="Times New Roman"/>
                <w:bCs/>
              </w:rPr>
              <w:t>年级</w:t>
            </w:r>
          </w:p>
        </w:tc>
        <w:tc>
          <w:tcPr>
            <w:tcW w:w="766" w:type="pct"/>
            <w:vMerge w:val="continue"/>
          </w:tcPr>
          <w:p>
            <w:pPr>
              <w:rPr>
                <w:rFonts w:ascii="Times New Roman" w:hAnsi="Times New Roman" w:eastAsia="仿宋" w:cs="Times New Roman"/>
                <w:b/>
                <w:bCs/>
                <w:sz w:val="28"/>
                <w:szCs w:val="28"/>
              </w:rPr>
            </w:pPr>
          </w:p>
        </w:tc>
        <w:tc>
          <w:tcPr>
            <w:tcW w:w="567" w:type="pct"/>
            <w:vMerge w:val="continue"/>
          </w:tcPr>
          <w:p>
            <w:pPr>
              <w:rPr>
                <w:rFonts w:ascii="Times New Roman" w:hAnsi="Times New Roman" w:eastAsia="仿宋" w:cs="Times New Roman"/>
                <w:b/>
                <w:bCs/>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ascii="Times New Roman" w:hAnsi="Times New Roman" w:eastAsia="楷体" w:cs="Times New Roman"/>
                <w:bCs/>
                <w:sz w:val="21"/>
                <w:szCs w:val="21"/>
              </w:rPr>
            </w:pPr>
            <w:r>
              <w:rPr>
                <w:rFonts w:ascii="Times New Roman" w:hAnsi="Times New Roman" w:eastAsia="楷体" w:cs="Times New Roman"/>
                <w:bCs/>
                <w:sz w:val="21"/>
                <w:szCs w:val="21"/>
              </w:rPr>
              <w:t>1</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农学</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2019.2020.2021.2022</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439</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39172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ascii="Times New Roman" w:hAnsi="Times New Roman" w:eastAsia="楷体" w:cs="Times New Roman"/>
                <w:bCs/>
                <w:sz w:val="21"/>
                <w:szCs w:val="21"/>
              </w:rPr>
            </w:pPr>
            <w:r>
              <w:rPr>
                <w:rFonts w:ascii="Times New Roman" w:hAnsi="Times New Roman" w:eastAsia="楷体" w:cs="Times New Roman"/>
                <w:bCs/>
                <w:sz w:val="21"/>
                <w:szCs w:val="21"/>
              </w:rPr>
              <w:t>2</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农学创新人才班</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2019.2020.2021.2022</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8674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hint="eastAsia" w:ascii="Times New Roman" w:hAnsi="Times New Roman" w:eastAsia="楷体" w:cs="Times New Roman"/>
                <w:bCs/>
                <w:sz w:val="21"/>
                <w:szCs w:val="21"/>
                <w:lang w:val="en-US" w:eastAsia="zh-CN"/>
              </w:rPr>
              <w:t>3</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农学应用班</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2021.2022</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1004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hint="eastAsia" w:ascii="Times New Roman" w:hAnsi="Times New Roman" w:eastAsia="楷体" w:cs="Times New Roman"/>
                <w:bCs/>
                <w:sz w:val="21"/>
                <w:szCs w:val="21"/>
                <w:lang w:val="en-US" w:eastAsia="zh-CN"/>
              </w:rPr>
              <w:t>4</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农学专升本</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2021.2022</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10112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hint="eastAsia" w:ascii="Times New Roman" w:hAnsi="Times New Roman" w:eastAsia="楷体" w:cs="Times New Roman"/>
                <w:bCs/>
                <w:sz w:val="21"/>
                <w:szCs w:val="21"/>
                <w:lang w:val="en-US" w:eastAsia="zh-CN"/>
              </w:rPr>
              <w:t>5</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植物保护</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2019.2020.2021.00</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359</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29156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hint="eastAsia" w:ascii="Times New Roman" w:hAnsi="Times New Roman" w:eastAsia="楷体" w:cs="Times New Roman"/>
                <w:bCs/>
                <w:sz w:val="21"/>
                <w:szCs w:val="21"/>
                <w:lang w:val="en-US" w:eastAsia="zh-CN"/>
              </w:rPr>
              <w:t>6</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农业资源与环境</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2020.2021.2022</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23550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hint="eastAsia" w:ascii="Times New Roman" w:hAnsi="Times New Roman" w:eastAsia="楷体" w:cs="Times New Roman"/>
                <w:bCs/>
                <w:sz w:val="21"/>
                <w:szCs w:val="21"/>
                <w:lang w:val="en-US" w:eastAsia="zh-CN"/>
              </w:rPr>
              <w:t>7</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种子科学与工程</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2019.2020.2021.00</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10926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hint="eastAsia" w:ascii="Times New Roman" w:hAnsi="Times New Roman" w:eastAsia="楷体" w:cs="Times New Roman"/>
                <w:bCs/>
                <w:sz w:val="21"/>
                <w:szCs w:val="21"/>
                <w:lang w:val="en-US" w:eastAsia="zh-CN"/>
              </w:rPr>
              <w:t>8</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园艺</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eastAsia" w:ascii="宋体" w:hAnsi="宋体" w:eastAsia="宋体" w:cs="宋体"/>
                <w:i w:val="0"/>
                <w:iCs w:val="0"/>
                <w:color w:val="000000"/>
                <w:kern w:val="0"/>
                <w:sz w:val="21"/>
                <w:szCs w:val="21"/>
                <w:u w:val="none"/>
                <w:lang w:val="en-US" w:eastAsia="zh-CN" w:bidi="ar"/>
              </w:rPr>
              <w:t>2020.2021.2022</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eastAsia" w:ascii="宋体" w:hAnsi="宋体" w:eastAsia="宋体" w:cs="宋体"/>
                <w:i w:val="0"/>
                <w:iCs w:val="0"/>
                <w:color w:val="000000"/>
                <w:kern w:val="0"/>
                <w:sz w:val="21"/>
                <w:szCs w:val="21"/>
                <w:u w:val="none"/>
                <w:lang w:val="en-US" w:eastAsia="zh-CN" w:bidi="ar"/>
              </w:rPr>
              <w:t>300</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eastAsia" w:ascii="宋体" w:hAnsi="宋体" w:eastAsia="宋体" w:cs="宋体"/>
                <w:i w:val="0"/>
                <w:iCs w:val="0"/>
                <w:color w:val="000000"/>
                <w:kern w:val="0"/>
                <w:sz w:val="21"/>
                <w:szCs w:val="21"/>
                <w:u w:val="none"/>
                <w:lang w:val="en-US" w:eastAsia="zh-CN" w:bidi="ar"/>
              </w:rPr>
              <w:t>17354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hint="eastAsia" w:ascii="Times New Roman" w:hAnsi="Times New Roman" w:eastAsia="楷体" w:cs="Times New Roman"/>
                <w:bCs/>
                <w:sz w:val="21"/>
                <w:szCs w:val="21"/>
                <w:lang w:val="en-US" w:eastAsia="zh-CN"/>
              </w:rPr>
              <w:t>9</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园林</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eastAsia" w:ascii="宋体" w:hAnsi="宋体" w:eastAsia="宋体" w:cs="宋体"/>
                <w:i w:val="0"/>
                <w:iCs w:val="0"/>
                <w:color w:val="000000"/>
                <w:kern w:val="0"/>
                <w:sz w:val="21"/>
                <w:szCs w:val="21"/>
                <w:u w:val="none"/>
                <w:lang w:val="en-US" w:eastAsia="zh-CN" w:bidi="ar"/>
              </w:rPr>
              <w:t>2019.2020.2021.2022</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eastAsia" w:ascii="宋体" w:hAnsi="宋体" w:eastAsia="宋体" w:cs="宋体"/>
                <w:i w:val="0"/>
                <w:iCs w:val="0"/>
                <w:color w:val="000000"/>
                <w:kern w:val="0"/>
                <w:sz w:val="21"/>
                <w:szCs w:val="21"/>
                <w:u w:val="none"/>
                <w:lang w:val="en-US" w:eastAsia="zh-CN" w:bidi="ar"/>
              </w:rPr>
              <w:t>322</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eastAsia" w:ascii="宋体" w:hAnsi="宋体" w:eastAsia="宋体" w:cs="宋体"/>
                <w:i w:val="0"/>
                <w:iCs w:val="0"/>
                <w:color w:val="000000"/>
                <w:kern w:val="0"/>
                <w:sz w:val="21"/>
                <w:szCs w:val="21"/>
                <w:u w:val="none"/>
                <w:lang w:val="en-US" w:eastAsia="zh-CN" w:bidi="ar"/>
              </w:rPr>
              <w:t>13434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ascii="Times New Roman" w:hAnsi="Times New Roman" w:eastAsia="楷体" w:cs="Times New Roman"/>
                <w:bCs/>
                <w:sz w:val="21"/>
                <w:szCs w:val="21"/>
              </w:rPr>
              <w:t>1</w:t>
            </w:r>
            <w:r>
              <w:rPr>
                <w:rFonts w:hint="eastAsia" w:ascii="Times New Roman" w:hAnsi="Times New Roman" w:eastAsia="楷体" w:cs="Times New Roman"/>
                <w:bCs/>
                <w:sz w:val="21"/>
                <w:szCs w:val="21"/>
                <w:lang w:val="en-US" w:eastAsia="zh-CN"/>
              </w:rPr>
              <w:t>0</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草业</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2021</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ascii="Times New Roman" w:hAnsi="Times New Roman" w:eastAsia="楷体" w:cs="Times New Roman"/>
                <w:bCs/>
                <w:sz w:val="21"/>
                <w:szCs w:val="21"/>
              </w:rPr>
              <w:t>1</w:t>
            </w:r>
            <w:r>
              <w:rPr>
                <w:rFonts w:hint="eastAsia" w:ascii="Times New Roman" w:hAnsi="Times New Roman" w:eastAsia="楷体" w:cs="Times New Roman"/>
                <w:bCs/>
                <w:sz w:val="21"/>
                <w:szCs w:val="21"/>
                <w:lang w:val="en-US" w:eastAsia="zh-CN"/>
              </w:rPr>
              <w:t>1</w:t>
            </w:r>
          </w:p>
        </w:tc>
        <w:tc>
          <w:tcPr>
            <w:tcW w:w="3199" w:type="dxa"/>
            <w:vAlign w:val="center"/>
          </w:tcPr>
          <w:p>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生物类</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2021</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162</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3240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hint="eastAsia" w:ascii="Times New Roman" w:hAnsi="Times New Roman" w:eastAsia="楷体" w:cs="Times New Roman"/>
                <w:bCs/>
                <w:sz w:val="21"/>
                <w:szCs w:val="21"/>
                <w:lang w:eastAsia="zh-CN"/>
              </w:rPr>
            </w:pPr>
            <w:r>
              <w:rPr>
                <w:rFonts w:ascii="Times New Roman" w:hAnsi="Times New Roman" w:eastAsia="楷体" w:cs="Times New Roman"/>
                <w:bCs/>
                <w:sz w:val="21"/>
                <w:szCs w:val="21"/>
              </w:rPr>
              <w:t>1</w:t>
            </w:r>
            <w:r>
              <w:rPr>
                <w:rFonts w:hint="eastAsia" w:ascii="Times New Roman" w:hAnsi="Times New Roman" w:eastAsia="楷体" w:cs="Times New Roman"/>
                <w:bCs/>
                <w:sz w:val="21"/>
                <w:szCs w:val="21"/>
                <w:lang w:val="en-US" w:eastAsia="zh-CN"/>
              </w:rPr>
              <w:t>2</w:t>
            </w:r>
          </w:p>
        </w:tc>
        <w:tc>
          <w:tcPr>
            <w:tcW w:w="3199" w:type="dxa"/>
            <w:vAlign w:val="center"/>
          </w:tcPr>
          <w:p>
            <w:pPr>
              <w:keepNext w:val="0"/>
              <w:keepLines w:val="0"/>
              <w:widowControl/>
              <w:suppressLineNumbers w:val="0"/>
              <w:jc w:val="center"/>
              <w:textAlignment w:val="center"/>
              <w:rPr>
                <w:rFonts w:ascii="宋体" w:hAnsi="宋体" w:eastAsia="宋体" w:cs="宋体"/>
                <w:color w:val="FF0000"/>
                <w:sz w:val="21"/>
                <w:szCs w:val="21"/>
              </w:rPr>
            </w:pPr>
            <w:r>
              <w:rPr>
                <w:rFonts w:hint="eastAsia" w:ascii="宋体" w:hAnsi="宋体" w:eastAsia="宋体" w:cs="宋体"/>
                <w:i w:val="0"/>
                <w:iCs w:val="0"/>
                <w:color w:val="000000"/>
                <w:kern w:val="0"/>
                <w:sz w:val="22"/>
                <w:szCs w:val="22"/>
                <w:u w:val="none"/>
                <w:lang w:val="en-US" w:eastAsia="zh-CN" w:bidi="ar"/>
              </w:rPr>
              <w:t>设施农业科学与工程</w:t>
            </w:r>
          </w:p>
        </w:tc>
        <w:tc>
          <w:tcPr>
            <w:tcW w:w="2213"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2021</w:t>
            </w:r>
          </w:p>
        </w:tc>
        <w:tc>
          <w:tcPr>
            <w:tcW w:w="1305"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966" w:type="dxa"/>
            <w:vAlign w:val="center"/>
          </w:tcPr>
          <w:p>
            <w:pPr>
              <w:keepNext w:val="0"/>
              <w:keepLines w:val="0"/>
              <w:widowControl/>
              <w:suppressLineNumbers w:val="0"/>
              <w:jc w:val="center"/>
              <w:textAlignment w:val="center"/>
              <w:rPr>
                <w:rFonts w:ascii="Times New Roman" w:hAnsi="Times New Roman" w:eastAsia="宋体" w:cs="Times New Roman"/>
                <w:color w:val="FF0000"/>
                <w:sz w:val="21"/>
                <w:szCs w:val="21"/>
              </w:rPr>
            </w:pPr>
            <w:r>
              <w:rPr>
                <w:rFonts w:hint="default" w:ascii="Times New Roman" w:hAnsi="Times New Roman" w:eastAsia="宋体" w:cs="Times New Roman"/>
                <w:i w:val="0"/>
                <w:iCs w:val="0"/>
                <w:color w:val="000000"/>
                <w:kern w:val="0"/>
                <w:sz w:val="22"/>
                <w:szCs w:val="22"/>
                <w:u w:val="none"/>
                <w:lang w:val="en-US" w:eastAsia="zh-CN" w:bidi="ar"/>
              </w:rPr>
              <w:t>732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89" w:type="pct"/>
            <w:vAlign w:val="center"/>
          </w:tcPr>
          <w:p>
            <w:pPr>
              <w:adjustRightInd w:val="0"/>
              <w:snapToGrid w:val="0"/>
              <w:jc w:val="center"/>
              <w:rPr>
                <w:rFonts w:ascii="Times New Roman" w:hAnsi="Times New Roman" w:eastAsia="楷体" w:cs="Times New Roman"/>
                <w:bCs/>
                <w:sz w:val="21"/>
                <w:szCs w:val="21"/>
              </w:rPr>
            </w:pPr>
          </w:p>
        </w:tc>
        <w:tc>
          <w:tcPr>
            <w:tcW w:w="319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c>
          <w:tcPr>
            <w:tcW w:w="221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p>
        </w:tc>
        <w:tc>
          <w:tcPr>
            <w:tcW w:w="130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2376</w:t>
            </w:r>
          </w:p>
        </w:tc>
        <w:tc>
          <w:tcPr>
            <w:tcW w:w="96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157870</w:t>
            </w:r>
          </w:p>
        </w:tc>
      </w:tr>
    </w:tbl>
    <w:p>
      <w:pPr>
        <w:ind w:firstLine="470" w:firstLineChars="196"/>
        <w:rPr>
          <w:rFonts w:ascii="楷体" w:hAnsi="楷体" w:eastAsia="楷体"/>
          <w:bCs/>
          <w:color w:val="auto"/>
        </w:rPr>
      </w:pPr>
      <w:r>
        <w:rPr>
          <w:rFonts w:hint="eastAsia" w:ascii="楷体" w:hAnsi="楷体" w:eastAsia="楷体"/>
          <w:bCs/>
          <w:color w:val="auto"/>
        </w:rPr>
        <w:t>注：面向的本校专业：实验教学内容列入专业人才培养方案的专业。</w:t>
      </w:r>
    </w:p>
    <w:p>
      <w:pPr>
        <w:spacing w:before="163" w:beforeLines="50" w:after="163" w:afterLines="50"/>
        <w:ind w:firstLine="560" w:firstLineChars="200"/>
        <w:rPr>
          <w:rFonts w:ascii="黑体" w:hAnsi="黑体" w:eastAsia="黑体"/>
          <w:bCs/>
          <w:color w:val="auto"/>
          <w:sz w:val="28"/>
          <w:szCs w:val="28"/>
        </w:rPr>
      </w:pPr>
      <w:r>
        <w:rPr>
          <w:rFonts w:hint="eastAsia" w:ascii="黑体" w:hAnsi="黑体" w:eastAsia="黑体"/>
          <w:bCs/>
          <w:color w:val="auto"/>
          <w:sz w:val="28"/>
          <w:szCs w:val="28"/>
        </w:rPr>
        <w:t>（二）实验教学资源情况</w:t>
      </w:r>
    </w:p>
    <w:tbl>
      <w:tblPr>
        <w:tblStyle w:val="8"/>
        <w:tblW w:w="4904" w:type="pct"/>
        <w:tblInd w:w="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99"/>
        <w:gridCol w:w="39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color w:val="auto"/>
                <w:highlight w:val="none"/>
              </w:rPr>
            </w:pPr>
            <w:r>
              <w:rPr>
                <w:rFonts w:hint="eastAsia" w:ascii="黑体" w:hAnsi="黑体" w:eastAsia="黑体"/>
                <w:bCs/>
                <w:color w:val="auto"/>
                <w:highlight w:val="none"/>
              </w:rPr>
              <w:t>实验项目资源总数</w:t>
            </w:r>
          </w:p>
        </w:tc>
        <w:tc>
          <w:tcPr>
            <w:tcW w:w="2366" w:type="pct"/>
            <w:vAlign w:val="top"/>
          </w:tcPr>
          <w:p>
            <w:pPr>
              <w:jc w:val="right"/>
              <w:rPr>
                <w:rFonts w:ascii="黑体" w:hAnsi="黑体" w:eastAsia="黑体"/>
                <w:bCs/>
                <w:color w:val="auto"/>
                <w:highlight w:val="none"/>
              </w:rPr>
            </w:pPr>
            <w:r>
              <w:rPr>
                <w:rFonts w:hint="eastAsia" w:ascii="黑体" w:hAnsi="黑体" w:eastAsia="黑体"/>
                <w:b w:val="0"/>
                <w:bCs/>
                <w:color w:val="auto"/>
                <w:highlight w:val="none"/>
                <w:lang w:val="en-US" w:eastAsia="zh-CN"/>
              </w:rPr>
              <w:t>395</w:t>
            </w:r>
            <w:r>
              <w:rPr>
                <w:rFonts w:hint="eastAsia" w:ascii="黑体" w:hAnsi="黑体" w:eastAsia="黑体"/>
                <w:b w:val="0"/>
                <w:bCs/>
                <w:color w:val="auto"/>
                <w:highlight w:val="none"/>
              </w:rPr>
              <w:t>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color w:val="auto"/>
                <w:highlight w:val="none"/>
              </w:rPr>
            </w:pPr>
            <w:r>
              <w:rPr>
                <w:rFonts w:hint="eastAsia" w:ascii="黑体" w:hAnsi="黑体" w:eastAsia="黑体"/>
                <w:bCs/>
                <w:color w:val="auto"/>
                <w:highlight w:val="none"/>
              </w:rPr>
              <w:t>年度开设实验项目数</w:t>
            </w:r>
          </w:p>
        </w:tc>
        <w:tc>
          <w:tcPr>
            <w:tcW w:w="2366" w:type="pct"/>
            <w:vAlign w:val="top"/>
          </w:tcPr>
          <w:p>
            <w:pPr>
              <w:jc w:val="right"/>
              <w:rPr>
                <w:rFonts w:ascii="黑体" w:hAnsi="黑体" w:eastAsia="黑体"/>
                <w:bCs/>
                <w:color w:val="auto"/>
                <w:highlight w:val="none"/>
              </w:rPr>
            </w:pPr>
            <w:r>
              <w:rPr>
                <w:rFonts w:hint="eastAsia" w:ascii="黑体" w:hAnsi="黑体" w:eastAsia="黑体"/>
                <w:b w:val="0"/>
                <w:bCs/>
                <w:color w:val="auto"/>
                <w:highlight w:val="none"/>
                <w:lang w:val="en-US" w:eastAsia="zh-CN"/>
              </w:rPr>
              <w:t>354</w:t>
            </w:r>
            <w:r>
              <w:rPr>
                <w:rFonts w:hint="eastAsia" w:ascii="黑体" w:hAnsi="黑体" w:eastAsia="黑体"/>
                <w:b w:val="0"/>
                <w:bCs/>
                <w:color w:val="auto"/>
                <w:highlight w:val="none"/>
              </w:rPr>
              <w:t>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color w:val="auto"/>
                <w:highlight w:val="none"/>
              </w:rPr>
            </w:pPr>
            <w:r>
              <w:rPr>
                <w:rFonts w:hint="eastAsia" w:ascii="黑体" w:hAnsi="黑体" w:eastAsia="黑体"/>
                <w:bCs/>
                <w:color w:val="auto"/>
                <w:highlight w:val="none"/>
              </w:rPr>
              <w:t>年度独立设课的实验课程</w:t>
            </w:r>
          </w:p>
        </w:tc>
        <w:tc>
          <w:tcPr>
            <w:tcW w:w="2366" w:type="pct"/>
            <w:vAlign w:val="top"/>
          </w:tcPr>
          <w:p>
            <w:pPr>
              <w:jc w:val="right"/>
              <w:rPr>
                <w:rFonts w:ascii="黑体" w:hAnsi="黑体" w:eastAsia="黑体"/>
                <w:bCs/>
                <w:color w:val="auto"/>
                <w:highlight w:val="none"/>
              </w:rPr>
            </w:pPr>
            <w:r>
              <w:rPr>
                <w:rFonts w:hint="eastAsia" w:ascii="黑体" w:hAnsi="黑体" w:eastAsia="黑体"/>
                <w:b w:val="0"/>
                <w:bCs/>
                <w:color w:val="auto"/>
                <w:highlight w:val="none"/>
                <w:lang w:val="en-US" w:eastAsia="zh-CN"/>
              </w:rPr>
              <w:t>16</w:t>
            </w:r>
            <w:r>
              <w:rPr>
                <w:rFonts w:hint="eastAsia" w:ascii="黑体" w:hAnsi="黑体" w:eastAsia="黑体"/>
                <w:b w:val="0"/>
                <w:bCs/>
                <w:color w:val="auto"/>
                <w:highlight w:val="none"/>
              </w:rPr>
              <w:t>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color w:val="auto"/>
                <w:highlight w:val="none"/>
              </w:rPr>
            </w:pPr>
            <w:r>
              <w:rPr>
                <w:rFonts w:hint="eastAsia" w:ascii="黑体" w:hAnsi="黑体" w:eastAsia="黑体"/>
                <w:bCs/>
                <w:color w:val="auto"/>
                <w:highlight w:val="none"/>
              </w:rPr>
              <w:t>实验教材总数</w:t>
            </w:r>
          </w:p>
        </w:tc>
        <w:tc>
          <w:tcPr>
            <w:tcW w:w="2366" w:type="pct"/>
          </w:tcPr>
          <w:p>
            <w:pPr>
              <w:jc w:val="right"/>
              <w:rPr>
                <w:rFonts w:ascii="黑体" w:hAnsi="黑体" w:eastAsia="黑体"/>
                <w:bCs/>
                <w:color w:val="auto"/>
                <w:highlight w:val="none"/>
              </w:rPr>
            </w:pPr>
            <w:r>
              <w:rPr>
                <w:rFonts w:hint="eastAsia" w:ascii="黑体" w:hAnsi="黑体" w:eastAsia="黑体"/>
                <w:bCs/>
                <w:color w:val="auto"/>
                <w:highlight w:val="none"/>
                <w:lang w:val="en-US" w:eastAsia="zh-CN"/>
              </w:rPr>
              <w:t>3</w:t>
            </w:r>
            <w:r>
              <w:rPr>
                <w:rFonts w:hint="eastAsia" w:ascii="黑体" w:hAnsi="黑体" w:eastAsia="黑体"/>
                <w:bCs/>
                <w:color w:val="auto"/>
                <w:highlight w:val="none"/>
              </w:rPr>
              <w:t>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color w:val="auto"/>
                <w:highlight w:val="none"/>
              </w:rPr>
            </w:pPr>
            <w:r>
              <w:rPr>
                <w:rFonts w:hint="eastAsia" w:ascii="黑体" w:hAnsi="黑体" w:eastAsia="黑体"/>
                <w:bCs/>
                <w:color w:val="auto"/>
                <w:highlight w:val="none"/>
              </w:rPr>
              <w:t>年度新增实验教材</w:t>
            </w:r>
          </w:p>
        </w:tc>
        <w:tc>
          <w:tcPr>
            <w:tcW w:w="2366" w:type="pct"/>
          </w:tcPr>
          <w:p>
            <w:pPr>
              <w:jc w:val="right"/>
              <w:rPr>
                <w:rFonts w:ascii="黑体" w:hAnsi="黑体" w:eastAsia="黑体"/>
                <w:bCs/>
                <w:color w:val="auto"/>
                <w:highlight w:val="none"/>
              </w:rPr>
            </w:pPr>
            <w:r>
              <w:rPr>
                <w:rFonts w:hint="eastAsia" w:ascii="黑体" w:hAnsi="黑体" w:eastAsia="黑体"/>
                <w:bCs/>
                <w:color w:val="auto"/>
                <w:highlight w:val="none"/>
                <w:lang w:val="en-US" w:eastAsia="zh-CN"/>
              </w:rPr>
              <w:t>0</w:t>
            </w:r>
            <w:r>
              <w:rPr>
                <w:rFonts w:hint="eastAsia" w:ascii="黑体" w:hAnsi="黑体" w:eastAsia="黑体"/>
                <w:bCs/>
                <w:color w:val="auto"/>
                <w:highlight w:val="none"/>
              </w:rPr>
              <w:t>种</w:t>
            </w:r>
          </w:p>
        </w:tc>
      </w:tr>
    </w:tbl>
    <w:p>
      <w:pPr>
        <w:ind w:firstLine="470" w:firstLineChars="196"/>
        <w:rPr>
          <w:rFonts w:ascii="楷体" w:hAnsi="楷体" w:eastAsia="楷体"/>
          <w:bCs/>
          <w:color w:val="auto"/>
        </w:rPr>
      </w:pPr>
      <w:r>
        <w:rPr>
          <w:rFonts w:hint="eastAsia" w:ascii="楷体" w:hAnsi="楷体" w:eastAsia="楷体"/>
          <w:bCs/>
          <w:color w:val="auto"/>
        </w:rPr>
        <w:t>注：（1）实验项目：有实验讲义和既往学生实验报告的实验项目。（2）实验教材：由中心固定人员担任主编、正式出版的实验教材。（3）实验课程：在专业培养方案中独立设置学分的实验课程。</w:t>
      </w:r>
    </w:p>
    <w:p>
      <w:pPr>
        <w:spacing w:before="163" w:beforeLines="50" w:after="163" w:afterLines="50"/>
        <w:ind w:firstLine="560" w:firstLineChars="200"/>
        <w:rPr>
          <w:rFonts w:ascii="黑体" w:hAnsi="黑体" w:eastAsia="黑体"/>
          <w:bCs/>
          <w:color w:val="auto"/>
          <w:sz w:val="28"/>
          <w:szCs w:val="28"/>
        </w:rPr>
      </w:pPr>
      <w:r>
        <w:rPr>
          <w:rFonts w:hint="eastAsia" w:ascii="黑体" w:hAnsi="黑体" w:eastAsia="黑体"/>
          <w:bCs/>
          <w:color w:val="auto"/>
          <w:sz w:val="28"/>
          <w:szCs w:val="28"/>
        </w:rPr>
        <w:t>（三）学生获奖情况</w:t>
      </w:r>
    </w:p>
    <w:tbl>
      <w:tblPr>
        <w:tblStyle w:val="8"/>
        <w:tblW w:w="4897" w:type="pct"/>
        <w:tblInd w:w="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93"/>
        <w:gridCol w:w="39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2633" w:type="pct"/>
            <w:vAlign w:val="center"/>
          </w:tcPr>
          <w:p>
            <w:pPr>
              <w:jc w:val="center"/>
              <w:rPr>
                <w:rFonts w:ascii="黑体" w:hAnsi="黑体" w:eastAsia="黑体"/>
                <w:bCs/>
                <w:color w:val="auto"/>
              </w:rPr>
            </w:pPr>
            <w:r>
              <w:rPr>
                <w:rFonts w:hint="eastAsia" w:ascii="黑体" w:hAnsi="黑体" w:eastAsia="黑体"/>
                <w:bCs/>
                <w:color w:val="auto"/>
              </w:rPr>
              <w:t>学生获奖人数</w:t>
            </w:r>
          </w:p>
        </w:tc>
        <w:tc>
          <w:tcPr>
            <w:tcW w:w="2366" w:type="pct"/>
            <w:vAlign w:val="center"/>
          </w:tcPr>
          <w:p>
            <w:pPr>
              <w:jc w:val="right"/>
              <w:rPr>
                <w:rFonts w:ascii="黑体" w:hAnsi="黑体" w:eastAsia="黑体"/>
                <w:bCs/>
                <w:color w:val="auto"/>
              </w:rPr>
            </w:pPr>
            <w:r>
              <w:rPr>
                <w:rFonts w:hint="eastAsia" w:ascii="黑体" w:hAnsi="黑体" w:eastAsia="黑体"/>
                <w:bCs/>
                <w:color w:val="auto"/>
                <w:lang w:val="en-US" w:eastAsia="zh-CN"/>
              </w:rPr>
              <w:t>10</w:t>
            </w:r>
            <w:r>
              <w:rPr>
                <w:rFonts w:hint="eastAsia" w:ascii="黑体" w:hAnsi="黑体" w:eastAsia="黑体"/>
                <w:bCs/>
                <w:color w:val="auto"/>
              </w:rPr>
              <w:t>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633" w:type="pct"/>
            <w:vAlign w:val="center"/>
          </w:tcPr>
          <w:p>
            <w:pPr>
              <w:jc w:val="center"/>
              <w:rPr>
                <w:rFonts w:ascii="黑体" w:hAnsi="黑体" w:eastAsia="黑体"/>
                <w:bCs/>
                <w:color w:val="auto"/>
              </w:rPr>
            </w:pPr>
            <w:r>
              <w:rPr>
                <w:rFonts w:hint="eastAsia" w:ascii="黑体" w:hAnsi="黑体" w:eastAsia="黑体"/>
                <w:bCs/>
                <w:color w:val="auto"/>
              </w:rPr>
              <w:t>学生发表论文数</w:t>
            </w:r>
          </w:p>
        </w:tc>
        <w:tc>
          <w:tcPr>
            <w:tcW w:w="2366" w:type="pct"/>
            <w:vAlign w:val="center"/>
          </w:tcPr>
          <w:p>
            <w:pPr>
              <w:jc w:val="right"/>
              <w:rPr>
                <w:rFonts w:ascii="黑体" w:hAnsi="黑体" w:eastAsia="黑体"/>
                <w:bCs/>
                <w:color w:val="auto"/>
              </w:rPr>
            </w:pPr>
            <w:r>
              <w:rPr>
                <w:rFonts w:hint="eastAsia" w:ascii="黑体" w:hAnsi="黑体" w:eastAsia="黑体"/>
                <w:bCs/>
                <w:color w:val="auto"/>
                <w:highlight w:val="none"/>
                <w:lang w:val="en-US" w:eastAsia="zh-CN"/>
              </w:rPr>
              <w:t>25</w:t>
            </w:r>
            <w:r>
              <w:rPr>
                <w:rFonts w:hint="eastAsia" w:ascii="黑体" w:hAnsi="黑体" w:eastAsia="黑体"/>
                <w:bCs/>
                <w:color w:val="auto"/>
                <w:highlight w:val="none"/>
              </w:rPr>
              <w:t>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633" w:type="pct"/>
            <w:vAlign w:val="center"/>
          </w:tcPr>
          <w:p>
            <w:pPr>
              <w:jc w:val="center"/>
              <w:rPr>
                <w:rFonts w:ascii="黑体" w:hAnsi="黑体" w:eastAsia="黑体"/>
                <w:bCs/>
                <w:color w:val="auto"/>
              </w:rPr>
            </w:pPr>
            <w:r>
              <w:rPr>
                <w:rFonts w:hint="eastAsia" w:ascii="黑体" w:hAnsi="黑体" w:eastAsia="黑体"/>
                <w:bCs/>
                <w:color w:val="auto"/>
              </w:rPr>
              <w:t>学生获得专利数</w:t>
            </w:r>
          </w:p>
        </w:tc>
        <w:tc>
          <w:tcPr>
            <w:tcW w:w="2366" w:type="pct"/>
            <w:vAlign w:val="center"/>
          </w:tcPr>
          <w:p>
            <w:pPr>
              <w:jc w:val="right"/>
              <w:rPr>
                <w:rFonts w:ascii="黑体" w:hAnsi="黑体" w:eastAsia="黑体"/>
                <w:bCs/>
                <w:color w:val="auto"/>
              </w:rPr>
            </w:pPr>
            <w:r>
              <w:rPr>
                <w:rFonts w:hint="eastAsia" w:ascii="黑体" w:hAnsi="黑体" w:eastAsia="黑体"/>
                <w:bCs/>
                <w:color w:val="auto"/>
                <w:lang w:val="en-US" w:eastAsia="zh-CN"/>
              </w:rPr>
              <w:t>5</w:t>
            </w:r>
            <w:r>
              <w:rPr>
                <w:rFonts w:hint="eastAsia" w:ascii="黑体" w:hAnsi="黑体" w:eastAsia="黑体"/>
                <w:bCs/>
                <w:color w:val="auto"/>
              </w:rPr>
              <w:t>项</w:t>
            </w:r>
          </w:p>
        </w:tc>
      </w:tr>
    </w:tbl>
    <w:p>
      <w:pPr>
        <w:ind w:firstLine="470" w:firstLineChars="196"/>
        <w:rPr>
          <w:rFonts w:hint="eastAsia" w:ascii="楷体" w:hAnsi="楷体" w:eastAsia="楷体"/>
          <w:bCs/>
          <w:color w:val="auto"/>
        </w:rPr>
      </w:pPr>
      <w:r>
        <w:rPr>
          <w:rFonts w:hint="eastAsia" w:ascii="楷体" w:hAnsi="楷体" w:eastAsia="楷体"/>
          <w:bCs/>
          <w:color w:val="auto"/>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ind w:firstLine="630" w:firstLineChars="196"/>
        <w:rPr>
          <w:rFonts w:ascii="黑体" w:hAnsi="黑体" w:eastAsia="黑体"/>
          <w:b/>
          <w:bCs/>
          <w:color w:val="auto"/>
          <w:sz w:val="32"/>
          <w:szCs w:val="32"/>
        </w:rPr>
      </w:pPr>
      <w:r>
        <w:rPr>
          <w:rFonts w:hint="eastAsia" w:ascii="黑体" w:hAnsi="黑体" w:eastAsia="黑体"/>
          <w:b/>
          <w:bCs/>
          <w:color w:val="auto"/>
          <w:sz w:val="32"/>
          <w:szCs w:val="32"/>
        </w:rPr>
        <w:t>四、教学改革与科学研究情况</w:t>
      </w:r>
    </w:p>
    <w:p>
      <w:pPr>
        <w:spacing w:before="163" w:beforeLines="50" w:after="163" w:afterLines="50"/>
        <w:ind w:firstLine="560" w:firstLineChars="200"/>
        <w:rPr>
          <w:rFonts w:ascii="黑体" w:hAnsi="黑体" w:eastAsia="黑体"/>
          <w:bCs/>
          <w:color w:val="auto"/>
          <w:sz w:val="28"/>
          <w:szCs w:val="28"/>
        </w:rPr>
      </w:pPr>
      <w:r>
        <w:rPr>
          <w:rFonts w:hint="eastAsia" w:ascii="黑体" w:hAnsi="黑体" w:eastAsia="黑体"/>
          <w:bCs/>
          <w:color w:val="auto"/>
          <w:sz w:val="28"/>
          <w:szCs w:val="28"/>
        </w:rPr>
        <w:t>（一）</w:t>
      </w:r>
      <w:r>
        <w:rPr>
          <w:rFonts w:hint="eastAsia" w:ascii="黑体" w:hAnsi="黑体" w:eastAsia="黑体" w:cs="仿宋_GB2312"/>
          <w:bCs/>
          <w:color w:val="auto"/>
          <w:sz w:val="28"/>
          <w:szCs w:val="28"/>
        </w:rPr>
        <w:t>承担教学改革任务及经费</w:t>
      </w:r>
    </w:p>
    <w:tbl>
      <w:tblPr>
        <w:tblStyle w:val="7"/>
        <w:tblW w:w="495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3"/>
        <w:gridCol w:w="2139"/>
        <w:gridCol w:w="1182"/>
        <w:gridCol w:w="870"/>
        <w:gridCol w:w="1320"/>
        <w:gridCol w:w="1120"/>
        <w:gridCol w:w="771"/>
        <w:gridCol w:w="4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33" w:type="pct"/>
            <w:vAlign w:val="center"/>
          </w:tcPr>
          <w:p>
            <w:pPr>
              <w:adjustRightInd w:val="0"/>
              <w:snapToGrid w:val="0"/>
              <w:jc w:val="center"/>
              <w:rPr>
                <w:rFonts w:ascii="黑体" w:hAnsi="黑体" w:eastAsia="黑体"/>
                <w:color w:val="auto"/>
              </w:rPr>
            </w:pPr>
            <w:r>
              <w:rPr>
                <w:rFonts w:hint="eastAsia" w:ascii="黑体" w:hAnsi="黑体" w:eastAsia="黑体" w:cs="宋体"/>
                <w:color w:val="auto"/>
              </w:rPr>
              <w:t>序号</w:t>
            </w:r>
          </w:p>
        </w:tc>
        <w:tc>
          <w:tcPr>
            <w:tcW w:w="1267"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项目/</w:t>
            </w:r>
          </w:p>
          <w:p>
            <w:pPr>
              <w:adjustRightInd w:val="0"/>
              <w:snapToGrid w:val="0"/>
              <w:jc w:val="center"/>
              <w:rPr>
                <w:rFonts w:ascii="黑体" w:hAnsi="黑体" w:eastAsia="黑体"/>
                <w:color w:val="auto"/>
              </w:rPr>
            </w:pPr>
            <w:r>
              <w:rPr>
                <w:rFonts w:hint="eastAsia" w:ascii="黑体" w:hAnsi="黑体" w:eastAsia="黑体" w:cs="宋体"/>
                <w:color w:val="auto"/>
              </w:rPr>
              <w:t>课题名称</w:t>
            </w:r>
          </w:p>
        </w:tc>
        <w:tc>
          <w:tcPr>
            <w:tcW w:w="700" w:type="pct"/>
            <w:vAlign w:val="center"/>
          </w:tcPr>
          <w:p>
            <w:pPr>
              <w:adjustRightInd w:val="0"/>
              <w:snapToGrid w:val="0"/>
              <w:jc w:val="center"/>
              <w:rPr>
                <w:rFonts w:ascii="黑体" w:hAnsi="黑体" w:eastAsia="黑体"/>
                <w:color w:val="auto"/>
              </w:rPr>
            </w:pPr>
            <w:r>
              <w:rPr>
                <w:rFonts w:hint="eastAsia" w:ascii="黑体" w:hAnsi="黑体" w:eastAsia="黑体" w:cs="宋体"/>
                <w:color w:val="auto"/>
              </w:rPr>
              <w:t>文号</w:t>
            </w:r>
          </w:p>
        </w:tc>
        <w:tc>
          <w:tcPr>
            <w:tcW w:w="515" w:type="pct"/>
            <w:vAlign w:val="center"/>
          </w:tcPr>
          <w:p>
            <w:pPr>
              <w:adjustRightInd w:val="0"/>
              <w:snapToGrid w:val="0"/>
              <w:jc w:val="center"/>
              <w:rPr>
                <w:rFonts w:ascii="黑体" w:hAnsi="黑体" w:eastAsia="黑体"/>
                <w:color w:val="auto"/>
              </w:rPr>
            </w:pPr>
            <w:r>
              <w:rPr>
                <w:rFonts w:hint="eastAsia" w:ascii="黑体" w:hAnsi="黑体" w:eastAsia="黑体" w:cs="宋体"/>
                <w:color w:val="auto"/>
              </w:rPr>
              <w:t>负责人</w:t>
            </w:r>
          </w:p>
        </w:tc>
        <w:tc>
          <w:tcPr>
            <w:tcW w:w="782" w:type="pct"/>
            <w:vAlign w:val="center"/>
          </w:tcPr>
          <w:p>
            <w:pPr>
              <w:adjustRightInd w:val="0"/>
              <w:snapToGrid w:val="0"/>
              <w:jc w:val="center"/>
              <w:rPr>
                <w:rFonts w:ascii="黑体" w:hAnsi="黑体" w:eastAsia="黑体"/>
                <w:color w:val="auto"/>
              </w:rPr>
            </w:pPr>
            <w:r>
              <w:rPr>
                <w:rFonts w:hint="eastAsia" w:ascii="黑体" w:hAnsi="黑体" w:eastAsia="黑体" w:cs="宋体"/>
                <w:color w:val="auto"/>
              </w:rPr>
              <w:t>参加人员</w:t>
            </w:r>
          </w:p>
        </w:tc>
        <w:tc>
          <w:tcPr>
            <w:tcW w:w="663" w:type="pct"/>
            <w:vAlign w:val="center"/>
          </w:tcPr>
          <w:p>
            <w:pPr>
              <w:adjustRightInd w:val="0"/>
              <w:snapToGrid w:val="0"/>
              <w:jc w:val="center"/>
              <w:rPr>
                <w:rFonts w:ascii="黑体" w:hAnsi="黑体" w:eastAsia="黑体"/>
                <w:color w:val="auto"/>
              </w:rPr>
            </w:pPr>
            <w:r>
              <w:rPr>
                <w:rFonts w:hint="eastAsia" w:ascii="黑体" w:hAnsi="黑体" w:eastAsia="黑体" w:cs="宋体"/>
                <w:color w:val="auto"/>
              </w:rPr>
              <w:t>起止时间</w:t>
            </w:r>
          </w:p>
        </w:tc>
        <w:tc>
          <w:tcPr>
            <w:tcW w:w="456" w:type="pct"/>
            <w:vAlign w:val="center"/>
          </w:tcPr>
          <w:p>
            <w:pPr>
              <w:adjustRightInd w:val="0"/>
              <w:snapToGrid w:val="0"/>
              <w:jc w:val="center"/>
              <w:rPr>
                <w:rFonts w:ascii="黑体" w:hAnsi="黑体" w:eastAsia="黑体"/>
                <w:color w:val="auto"/>
              </w:rPr>
            </w:pPr>
            <w:r>
              <w:rPr>
                <w:rFonts w:hint="eastAsia" w:ascii="黑体" w:hAnsi="黑体" w:eastAsia="黑体" w:cs="宋体"/>
                <w:color w:val="auto"/>
              </w:rPr>
              <w:t>经费（</w:t>
            </w:r>
            <w:r>
              <w:rPr>
                <w:rFonts w:hint="eastAsia" w:ascii="黑体" w:hAnsi="黑体" w:eastAsia="黑体" w:cs="仿宋_GB2312"/>
                <w:color w:val="auto"/>
              </w:rPr>
              <w:t>万元</w:t>
            </w:r>
            <w:r>
              <w:rPr>
                <w:rFonts w:hint="eastAsia" w:ascii="黑体" w:hAnsi="黑体" w:eastAsia="黑体" w:cs="宋体"/>
                <w:color w:val="auto"/>
              </w:rPr>
              <w:t>）</w:t>
            </w:r>
          </w:p>
        </w:tc>
        <w:tc>
          <w:tcPr>
            <w:tcW w:w="280" w:type="pct"/>
            <w:vAlign w:val="center"/>
          </w:tcPr>
          <w:p>
            <w:pPr>
              <w:adjustRightInd w:val="0"/>
              <w:snapToGrid w:val="0"/>
              <w:jc w:val="center"/>
              <w:rPr>
                <w:rFonts w:ascii="黑体" w:hAnsi="黑体" w:eastAsia="黑体"/>
                <w:color w:val="auto"/>
              </w:rPr>
            </w:pPr>
            <w:r>
              <w:rPr>
                <w:rFonts w:hint="eastAsia" w:ascii="黑体" w:hAnsi="黑体" w:eastAsia="黑体" w:cs="宋体"/>
                <w:color w:val="auto"/>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1</w:t>
            </w:r>
          </w:p>
        </w:tc>
        <w:tc>
          <w:tcPr>
            <w:tcW w:w="1267"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新农科背景下特色应用型大学新型“以学生为中心”教学模式改革研究与实践——以植物营养学课程为例</w:t>
            </w:r>
          </w:p>
        </w:tc>
        <w:tc>
          <w:tcPr>
            <w:tcW w:w="70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GJB1422179</w:t>
            </w:r>
          </w:p>
        </w:tc>
        <w:tc>
          <w:tcPr>
            <w:tcW w:w="515"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刘春梅</w:t>
            </w:r>
          </w:p>
        </w:tc>
        <w:tc>
          <w:tcPr>
            <w:tcW w:w="782"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孙海燕,蒋雨洲,王孟雪,张明聪,何淑平</w:t>
            </w:r>
          </w:p>
        </w:tc>
        <w:tc>
          <w:tcPr>
            <w:tcW w:w="663" w:type="pct"/>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202212-202412</w:t>
            </w:r>
          </w:p>
        </w:tc>
        <w:tc>
          <w:tcPr>
            <w:tcW w:w="456"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0.3</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w:t>
            </w:r>
          </w:p>
        </w:tc>
        <w:tc>
          <w:tcPr>
            <w:tcW w:w="1267"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新农科建设背景下农学专业创新人才培养实践教学体系的构建与应用</w:t>
            </w:r>
          </w:p>
        </w:tc>
        <w:tc>
          <w:tcPr>
            <w:tcW w:w="70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GJB1422178</w:t>
            </w:r>
          </w:p>
        </w:tc>
        <w:tc>
          <w:tcPr>
            <w:tcW w:w="515"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曹亮</w:t>
            </w:r>
          </w:p>
        </w:tc>
        <w:tc>
          <w:tcPr>
            <w:tcW w:w="782"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李颖,任春元,王孟雪,于高波,张玉先</w:t>
            </w:r>
          </w:p>
        </w:tc>
        <w:tc>
          <w:tcPr>
            <w:tcW w:w="663"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202212-202412</w:t>
            </w:r>
          </w:p>
        </w:tc>
        <w:tc>
          <w:tcPr>
            <w:tcW w:w="456"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0.3</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w:t>
            </w:r>
          </w:p>
        </w:tc>
        <w:tc>
          <w:tcPr>
            <w:tcW w:w="1267"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思政元素融入科研训练下的农林类研究生创新能力培养与实践</w:t>
            </w:r>
          </w:p>
        </w:tc>
        <w:tc>
          <w:tcPr>
            <w:tcW w:w="70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SJGY20220466</w:t>
            </w:r>
          </w:p>
        </w:tc>
        <w:tc>
          <w:tcPr>
            <w:tcW w:w="515"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郭晓红</w:t>
            </w:r>
          </w:p>
        </w:tc>
        <w:tc>
          <w:tcPr>
            <w:tcW w:w="782"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韩文革,张美萍,贺琳</w:t>
            </w:r>
          </w:p>
        </w:tc>
        <w:tc>
          <w:tcPr>
            <w:tcW w:w="663"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202211-202410</w:t>
            </w:r>
          </w:p>
        </w:tc>
        <w:tc>
          <w:tcPr>
            <w:tcW w:w="456"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w:t>
            </w:r>
          </w:p>
        </w:tc>
        <w:tc>
          <w:tcPr>
            <w:tcW w:w="1267"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新农科与思政育人理念背景下面向现代化大农业生产需求的研究生创新能力培养与驱动基层就业策略研究</w:t>
            </w:r>
          </w:p>
        </w:tc>
        <w:tc>
          <w:tcPr>
            <w:tcW w:w="70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SJGY20220467</w:t>
            </w:r>
          </w:p>
        </w:tc>
        <w:tc>
          <w:tcPr>
            <w:tcW w:w="515"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梁喜龙</w:t>
            </w:r>
          </w:p>
        </w:tc>
        <w:tc>
          <w:tcPr>
            <w:tcW w:w="782"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贝丽霞,鞠世杰,韩文革</w:t>
            </w:r>
          </w:p>
        </w:tc>
        <w:tc>
          <w:tcPr>
            <w:tcW w:w="663"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202211-202410</w:t>
            </w:r>
          </w:p>
        </w:tc>
        <w:tc>
          <w:tcPr>
            <w:tcW w:w="456"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5</w:t>
            </w:r>
          </w:p>
        </w:tc>
        <w:tc>
          <w:tcPr>
            <w:tcW w:w="1267"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国家一流本科专业建设背景下植物化学保护课程教学改革与实践</w:t>
            </w:r>
          </w:p>
        </w:tc>
        <w:tc>
          <w:tcPr>
            <w:tcW w:w="70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SJGY20220465</w:t>
            </w:r>
          </w:p>
        </w:tc>
        <w:tc>
          <w:tcPr>
            <w:tcW w:w="515"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刘明</w:t>
            </w:r>
          </w:p>
        </w:tc>
        <w:tc>
          <w:tcPr>
            <w:tcW w:w="782"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郭永霞,孔祥清,金永玲,周园园</w:t>
            </w:r>
          </w:p>
        </w:tc>
        <w:tc>
          <w:tcPr>
            <w:tcW w:w="663"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202211-202410</w:t>
            </w:r>
          </w:p>
        </w:tc>
        <w:tc>
          <w:tcPr>
            <w:tcW w:w="456"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6</w:t>
            </w:r>
          </w:p>
        </w:tc>
        <w:tc>
          <w:tcPr>
            <w:tcW w:w="1267"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创新创业引导下的农学类专业实践课程融入耕读教育的研究与探索</w:t>
            </w:r>
          </w:p>
        </w:tc>
        <w:tc>
          <w:tcPr>
            <w:tcW w:w="70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SJGY20220482</w:t>
            </w:r>
          </w:p>
        </w:tc>
        <w:tc>
          <w:tcPr>
            <w:tcW w:w="515"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陆磊</w:t>
            </w:r>
          </w:p>
        </w:tc>
        <w:tc>
          <w:tcPr>
            <w:tcW w:w="782"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王孟雪,郑雯,张明聪,刘春梅</w:t>
            </w:r>
          </w:p>
        </w:tc>
        <w:tc>
          <w:tcPr>
            <w:tcW w:w="663"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202211-202410</w:t>
            </w:r>
          </w:p>
        </w:tc>
        <w:tc>
          <w:tcPr>
            <w:tcW w:w="456"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default" w:ascii="楷体" w:hAnsi="楷体" w:eastAsia="楷体"/>
                <w:color w:val="auto"/>
                <w:sz w:val="18"/>
                <w:szCs w:val="18"/>
                <w:lang w:val="en-US" w:eastAsia="zh-CN"/>
              </w:rPr>
            </w:pPr>
            <w:bookmarkStart w:id="103" w:name="_GoBack"/>
            <w:bookmarkEnd w:id="103"/>
            <w:r>
              <w:rPr>
                <w:rFonts w:hint="eastAsia" w:ascii="楷体" w:hAnsi="楷体" w:eastAsia="楷体"/>
                <w:color w:val="auto"/>
                <w:sz w:val="18"/>
                <w:szCs w:val="18"/>
                <w:lang w:val="en-US" w:eastAsia="zh-CN"/>
              </w:rPr>
              <w:t>7</w:t>
            </w:r>
          </w:p>
        </w:tc>
        <w:tc>
          <w:tcPr>
            <w:tcW w:w="213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新农科背景下特色应用型大学新型“以学生为中心”教学模式改革研究与实践——以植物营养学课程为例</w:t>
            </w:r>
          </w:p>
        </w:tc>
        <w:tc>
          <w:tcPr>
            <w:tcW w:w="118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GJB1422179</w:t>
            </w:r>
          </w:p>
        </w:tc>
        <w:tc>
          <w:tcPr>
            <w:tcW w:w="87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刘春梅</w:t>
            </w:r>
          </w:p>
        </w:tc>
        <w:tc>
          <w:tcPr>
            <w:tcW w:w="132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孙海燕,蒋雨洲,王孟雪,张明聪,何淑平 郑雯，张有利，陆磊</w:t>
            </w:r>
          </w:p>
        </w:tc>
        <w:tc>
          <w:tcPr>
            <w:tcW w:w="112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202203-202403</w:t>
            </w:r>
          </w:p>
        </w:tc>
        <w:tc>
          <w:tcPr>
            <w:tcW w:w="456" w:type="pct"/>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0.2</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8</w:t>
            </w:r>
          </w:p>
        </w:tc>
        <w:tc>
          <w:tcPr>
            <w:tcW w:w="213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新农科建设背景下农学专业创新人才培养实践教学体系的构建与应用</w:t>
            </w:r>
          </w:p>
        </w:tc>
        <w:tc>
          <w:tcPr>
            <w:tcW w:w="118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GJB1422178</w:t>
            </w:r>
          </w:p>
        </w:tc>
        <w:tc>
          <w:tcPr>
            <w:tcW w:w="87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曹亮</w:t>
            </w:r>
          </w:p>
        </w:tc>
        <w:tc>
          <w:tcPr>
            <w:tcW w:w="132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李颖,任春元,王孟雪,于高波,张玉先，赵强，杜艳丽</w:t>
            </w:r>
          </w:p>
        </w:tc>
        <w:tc>
          <w:tcPr>
            <w:tcW w:w="112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202203-202303</w:t>
            </w:r>
          </w:p>
        </w:tc>
        <w:tc>
          <w:tcPr>
            <w:tcW w:w="456" w:type="pct"/>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0.2</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333" w:type="pct"/>
            <w:vAlign w:val="center"/>
          </w:tcPr>
          <w:p>
            <w:pPr>
              <w:adjustRightInd w:val="0"/>
              <w:snapToGrid w:val="0"/>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9</w:t>
            </w:r>
          </w:p>
        </w:tc>
        <w:tc>
          <w:tcPr>
            <w:tcW w:w="213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农学类专业实践育人共同体的构建与实践探索</w:t>
            </w:r>
          </w:p>
        </w:tc>
        <w:tc>
          <w:tcPr>
            <w:tcW w:w="118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22NL0302</w:t>
            </w:r>
          </w:p>
        </w:tc>
        <w:tc>
          <w:tcPr>
            <w:tcW w:w="87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张明聪</w:t>
            </w:r>
          </w:p>
        </w:tc>
        <w:tc>
          <w:tcPr>
            <w:tcW w:w="13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郭永霞、战英策、陆磊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张玉先、郑雯</w:t>
            </w:r>
          </w:p>
        </w:tc>
        <w:tc>
          <w:tcPr>
            <w:tcW w:w="112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202210-202410</w:t>
            </w:r>
          </w:p>
        </w:tc>
        <w:tc>
          <w:tcPr>
            <w:tcW w:w="456"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0.5</w:t>
            </w:r>
          </w:p>
        </w:tc>
        <w:tc>
          <w:tcPr>
            <w:tcW w:w="28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a</w:t>
            </w:r>
          </w:p>
        </w:tc>
      </w:tr>
    </w:tbl>
    <w:p>
      <w:pPr>
        <w:spacing w:before="163" w:beforeLines="50"/>
        <w:ind w:left="2" w:leftChars="1" w:firstLine="480" w:firstLineChars="200"/>
        <w:rPr>
          <w:rFonts w:ascii="楷体" w:hAnsi="楷体" w:eastAsia="楷体" w:cs="仿宋_GB2312"/>
          <w:color w:val="auto"/>
        </w:rPr>
      </w:pPr>
      <w:r>
        <w:rPr>
          <w:rFonts w:hint="eastAsia" w:ascii="楷体" w:hAnsi="楷体" w:eastAsia="楷体"/>
          <w:bCs/>
          <w:color w:val="auto"/>
        </w:rPr>
        <w:t>注：</w:t>
      </w:r>
      <w:r>
        <w:rPr>
          <w:rFonts w:hint="eastAsia" w:ascii="楷体" w:hAnsi="楷体" w:eastAsia="楷体"/>
          <w:color w:val="auto"/>
        </w:rPr>
        <w:t>此表填写省部级以上教学改革项目</w:t>
      </w:r>
      <w:r>
        <w:rPr>
          <w:rFonts w:hint="eastAsia" w:ascii="楷体" w:hAnsi="楷体" w:eastAsia="楷体"/>
          <w:bCs/>
          <w:color w:val="auto"/>
        </w:rPr>
        <w:t>/</w:t>
      </w:r>
      <w:r>
        <w:rPr>
          <w:rFonts w:ascii="楷体" w:hAnsi="楷体" w:eastAsia="楷体"/>
          <w:bCs/>
          <w:color w:val="auto"/>
        </w:rPr>
        <w:t>课题</w:t>
      </w:r>
      <w:r>
        <w:rPr>
          <w:rFonts w:hint="eastAsia" w:ascii="楷体" w:hAnsi="楷体" w:eastAsia="楷体"/>
          <w:bCs/>
          <w:color w:val="auto"/>
        </w:rPr>
        <w:t>。</w:t>
      </w:r>
      <w:r>
        <w:rPr>
          <w:rFonts w:hint="eastAsia" w:ascii="楷体" w:hAnsi="楷体" w:eastAsia="楷体"/>
          <w:color w:val="auto"/>
        </w:rPr>
        <w:t>（1）项目/课题</w:t>
      </w:r>
      <w:r>
        <w:rPr>
          <w:rFonts w:ascii="楷体" w:hAnsi="楷体" w:eastAsia="楷体"/>
          <w:bCs/>
          <w:color w:val="auto"/>
        </w:rPr>
        <w:t>名称：</w:t>
      </w:r>
      <w:r>
        <w:rPr>
          <w:rFonts w:ascii="楷体" w:hAnsi="楷体" w:eastAsia="楷体" w:cs="仿宋_GB2312"/>
          <w:color w:val="auto"/>
        </w:rPr>
        <w:t>项目管理部门下达的有正式文号的最小一级子课题名称。</w:t>
      </w:r>
      <w:r>
        <w:rPr>
          <w:rFonts w:hint="eastAsia" w:ascii="楷体" w:hAnsi="楷体" w:eastAsia="楷体" w:cs="仿宋_GB2312"/>
          <w:color w:val="auto"/>
        </w:rPr>
        <w:t>（2）</w:t>
      </w:r>
      <w:r>
        <w:rPr>
          <w:rFonts w:ascii="楷体" w:hAnsi="楷体" w:eastAsia="楷体" w:cs="仿宋_GB2312"/>
          <w:bCs/>
          <w:color w:val="auto"/>
        </w:rPr>
        <w:t>文号：</w:t>
      </w:r>
      <w:r>
        <w:rPr>
          <w:rFonts w:ascii="楷体" w:hAnsi="楷体" w:eastAsia="楷体" w:cs="仿宋_GB2312"/>
          <w:color w:val="auto"/>
        </w:rPr>
        <w:t>项目管理部门下达文件的文号。</w:t>
      </w:r>
      <w:r>
        <w:rPr>
          <w:rFonts w:hint="eastAsia" w:ascii="楷体" w:hAnsi="楷体" w:eastAsia="楷体" w:cs="仿宋_GB2312"/>
          <w:color w:val="auto"/>
        </w:rPr>
        <w:t>（3）</w:t>
      </w:r>
      <w:r>
        <w:rPr>
          <w:rFonts w:ascii="楷体" w:hAnsi="楷体" w:eastAsia="楷体" w:cs="仿宋_GB2312"/>
          <w:color w:val="auto"/>
        </w:rPr>
        <w:t>负责人：必须是</w:t>
      </w:r>
      <w:r>
        <w:rPr>
          <w:rFonts w:hint="eastAsia" w:ascii="楷体" w:hAnsi="楷体" w:eastAsia="楷体" w:cs="仿宋_GB2312"/>
          <w:color w:val="auto"/>
          <w:lang w:val="en-US" w:eastAsia="zh-CN"/>
        </w:rPr>
        <w:t>示范</w:t>
      </w:r>
      <w:r>
        <w:rPr>
          <w:rFonts w:ascii="楷体" w:hAnsi="楷体" w:eastAsia="楷体" w:cs="仿宋_GB2312"/>
          <w:color w:val="auto"/>
        </w:rPr>
        <w:t>中心</w:t>
      </w:r>
      <w:r>
        <w:rPr>
          <w:rFonts w:hint="eastAsia" w:ascii="楷体" w:hAnsi="楷体" w:eastAsia="楷体" w:cs="仿宋_GB2312"/>
          <w:color w:val="auto"/>
        </w:rPr>
        <w:t>人员（含固定人员和流动人员）</w:t>
      </w:r>
      <w:r>
        <w:rPr>
          <w:rFonts w:ascii="楷体" w:hAnsi="楷体" w:eastAsia="楷体" w:cs="仿宋_GB2312"/>
          <w:color w:val="auto"/>
        </w:rPr>
        <w:t>。</w:t>
      </w:r>
      <w:r>
        <w:rPr>
          <w:rFonts w:hint="eastAsia" w:ascii="楷体" w:hAnsi="楷体" w:eastAsia="楷体" w:cs="仿宋_GB2312"/>
          <w:color w:val="auto"/>
        </w:rPr>
        <w:t>（4）</w:t>
      </w:r>
      <w:r>
        <w:rPr>
          <w:rFonts w:ascii="楷体" w:hAnsi="楷体" w:eastAsia="楷体" w:cs="宋体"/>
          <w:bCs/>
          <w:color w:val="auto"/>
        </w:rPr>
        <w:t>参加人员：</w:t>
      </w:r>
      <w:r>
        <w:rPr>
          <w:rFonts w:ascii="楷体" w:hAnsi="楷体" w:eastAsia="楷体" w:cs="宋体"/>
          <w:color w:val="auto"/>
        </w:rPr>
        <w:t>所有参加人员，</w:t>
      </w:r>
      <w:r>
        <w:rPr>
          <w:rFonts w:ascii="楷体" w:hAnsi="楷体" w:eastAsia="楷体"/>
          <w:color w:val="auto"/>
        </w:rPr>
        <w:t>其中研究生、博士后名字后标注*，非本中心人员名字后标注＃。</w:t>
      </w:r>
      <w:r>
        <w:rPr>
          <w:rFonts w:hint="eastAsia" w:ascii="楷体" w:hAnsi="楷体" w:eastAsia="楷体"/>
          <w:color w:val="auto"/>
        </w:rPr>
        <w:t>（5）</w:t>
      </w:r>
      <w:r>
        <w:rPr>
          <w:rFonts w:hint="eastAsia" w:ascii="楷体" w:hAnsi="楷体" w:eastAsia="楷体"/>
          <w:bCs/>
          <w:color w:val="auto"/>
        </w:rPr>
        <w:t>经费：</w:t>
      </w:r>
      <w:r>
        <w:rPr>
          <w:rFonts w:hint="eastAsia" w:ascii="楷体" w:hAnsi="楷体" w:eastAsia="楷体" w:cs="仿宋_GB2312"/>
          <w:color w:val="auto"/>
        </w:rPr>
        <w:t>指示范中心本年度实际到账的研究经费。（6）</w:t>
      </w:r>
      <w:r>
        <w:rPr>
          <w:rFonts w:hint="eastAsia" w:ascii="楷体" w:hAnsi="楷体" w:eastAsia="楷体" w:cs="宋体"/>
          <w:bCs/>
          <w:color w:val="auto"/>
        </w:rPr>
        <w:t>类别：</w:t>
      </w:r>
      <w:r>
        <w:rPr>
          <w:rFonts w:hint="eastAsia" w:ascii="楷体" w:hAnsi="楷体" w:eastAsia="楷体" w:cs="仿宋_GB2312"/>
          <w:color w:val="auto"/>
        </w:rPr>
        <w:t>分为</w:t>
      </w:r>
      <w:r>
        <w:rPr>
          <w:rFonts w:ascii="楷体" w:hAnsi="楷体" w:eastAsia="楷体"/>
          <w:color w:val="auto"/>
        </w:rPr>
        <w:t>a、b</w:t>
      </w:r>
      <w:r>
        <w:rPr>
          <w:rFonts w:hint="eastAsia" w:ascii="楷体" w:hAnsi="楷体" w:eastAsia="楷体" w:cs="仿宋_GB2312"/>
          <w:color w:val="auto"/>
        </w:rPr>
        <w:t>两类，</w:t>
      </w:r>
      <w:r>
        <w:rPr>
          <w:rFonts w:ascii="楷体" w:hAnsi="楷体" w:eastAsia="楷体"/>
          <w:color w:val="auto"/>
        </w:rPr>
        <w:t>a</w:t>
      </w:r>
      <w:r>
        <w:rPr>
          <w:rFonts w:hint="eastAsia" w:ascii="楷体" w:hAnsi="楷体" w:eastAsia="楷体" w:cs="仿宋_GB2312"/>
          <w:color w:val="auto"/>
        </w:rPr>
        <w:t>类课题指以示范中心人员为第一负责人的课题；</w:t>
      </w:r>
      <w:r>
        <w:rPr>
          <w:rFonts w:ascii="楷体" w:hAnsi="楷体" w:eastAsia="楷体"/>
          <w:color w:val="auto"/>
        </w:rPr>
        <w:t>b</w:t>
      </w:r>
      <w:r>
        <w:rPr>
          <w:rFonts w:hint="eastAsia" w:ascii="楷体" w:hAnsi="楷体" w:eastAsia="楷体" w:cs="仿宋_GB2312"/>
          <w:color w:val="auto"/>
        </w:rPr>
        <w:t>类课题指</w:t>
      </w:r>
      <w:r>
        <w:rPr>
          <w:rFonts w:hint="eastAsia" w:ascii="楷体" w:hAnsi="楷体" w:eastAsia="楷体"/>
          <w:color w:val="auto"/>
        </w:rPr>
        <w:t>本示范中心协同其他</w:t>
      </w:r>
      <w:r>
        <w:rPr>
          <w:rFonts w:hint="eastAsia" w:ascii="楷体" w:hAnsi="楷体" w:eastAsia="楷体"/>
          <w:color w:val="auto"/>
          <w:lang w:val="en-US" w:eastAsia="zh-CN"/>
        </w:rPr>
        <w:t>单位</w:t>
      </w:r>
      <w:r>
        <w:rPr>
          <w:rFonts w:hint="eastAsia" w:ascii="楷体" w:hAnsi="楷体" w:eastAsia="楷体"/>
          <w:color w:val="auto"/>
        </w:rPr>
        <w:t>研究的课题</w:t>
      </w:r>
      <w:r>
        <w:rPr>
          <w:rFonts w:hint="eastAsia" w:ascii="楷体" w:hAnsi="楷体" w:eastAsia="楷体" w:cs="仿宋_GB2312"/>
          <w:color w:val="auto"/>
        </w:rPr>
        <w:t>。</w:t>
      </w:r>
    </w:p>
    <w:p>
      <w:pPr>
        <w:spacing w:before="163" w:beforeLines="50" w:after="163" w:afterLines="50"/>
        <w:ind w:firstLine="560" w:firstLineChars="200"/>
        <w:rPr>
          <w:rFonts w:ascii="黑体" w:hAnsi="黑体" w:eastAsia="黑体" w:cs="仿宋_GB2312"/>
          <w:bCs/>
          <w:color w:val="auto"/>
          <w:sz w:val="28"/>
          <w:szCs w:val="28"/>
        </w:rPr>
      </w:pPr>
      <w:r>
        <w:rPr>
          <w:rFonts w:hint="eastAsia" w:ascii="黑体" w:hAnsi="黑体" w:eastAsia="黑体" w:cs="宋体"/>
          <w:color w:val="auto"/>
          <w:sz w:val="28"/>
          <w:szCs w:val="28"/>
        </w:rPr>
        <w:t>（</w:t>
      </w:r>
      <w:r>
        <w:rPr>
          <w:rFonts w:hint="eastAsia" w:ascii="黑体" w:hAnsi="黑体" w:eastAsia="黑体" w:cs="宋体"/>
          <w:color w:val="auto"/>
          <w:sz w:val="28"/>
          <w:szCs w:val="28"/>
          <w:lang w:val="en-US" w:eastAsia="zh-CN"/>
        </w:rPr>
        <w:t>二</w:t>
      </w:r>
      <w:r>
        <w:rPr>
          <w:rFonts w:hint="eastAsia" w:ascii="黑体" w:hAnsi="黑体" w:eastAsia="黑体" w:cs="宋体"/>
          <w:color w:val="auto"/>
          <w:sz w:val="28"/>
          <w:szCs w:val="28"/>
        </w:rPr>
        <w:t>）</w:t>
      </w:r>
      <w:r>
        <w:rPr>
          <w:rFonts w:hint="eastAsia" w:ascii="黑体" w:hAnsi="黑体" w:eastAsia="黑体" w:cs="仿宋_GB2312"/>
          <w:bCs/>
          <w:color w:val="auto"/>
          <w:sz w:val="28"/>
          <w:szCs w:val="28"/>
        </w:rPr>
        <w:t>研究成果</w:t>
      </w:r>
    </w:p>
    <w:p>
      <w:pPr>
        <w:spacing w:before="163" w:beforeLines="50" w:after="163" w:afterLines="50"/>
        <w:ind w:firstLine="480" w:firstLineChars="200"/>
        <w:rPr>
          <w:rFonts w:ascii="黑体" w:hAnsi="黑体" w:eastAsia="黑体"/>
          <w:color w:val="auto"/>
        </w:rPr>
      </w:pPr>
      <w:r>
        <w:rPr>
          <w:rFonts w:hint="eastAsia" w:ascii="黑体" w:hAnsi="黑体" w:eastAsia="黑体" w:cs="仿宋_GB2312"/>
          <w:color w:val="auto"/>
        </w:rPr>
        <w:t>1.专利情况</w:t>
      </w:r>
    </w:p>
    <w:tbl>
      <w:tblPr>
        <w:tblStyle w:val="7"/>
        <w:tblW w:w="4873" w:type="pct"/>
        <w:tblInd w:w="1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57"/>
        <w:gridCol w:w="1475"/>
        <w:gridCol w:w="1776"/>
        <w:gridCol w:w="1477"/>
        <w:gridCol w:w="1173"/>
        <w:gridCol w:w="870"/>
        <w:gridCol w:w="7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456"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序号</w:t>
            </w:r>
          </w:p>
        </w:tc>
        <w:tc>
          <w:tcPr>
            <w:tcW w:w="888"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专利名称</w:t>
            </w:r>
          </w:p>
        </w:tc>
        <w:tc>
          <w:tcPr>
            <w:tcW w:w="1069"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专利授权号</w:t>
            </w:r>
          </w:p>
        </w:tc>
        <w:tc>
          <w:tcPr>
            <w:tcW w:w="889"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获准国别</w:t>
            </w:r>
          </w:p>
        </w:tc>
        <w:tc>
          <w:tcPr>
            <w:tcW w:w="706"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完成人</w:t>
            </w:r>
          </w:p>
        </w:tc>
        <w:tc>
          <w:tcPr>
            <w:tcW w:w="524"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类型</w:t>
            </w:r>
          </w:p>
        </w:tc>
        <w:tc>
          <w:tcPr>
            <w:tcW w:w="465"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ascii="楷体" w:hAnsi="楷体" w:eastAsia="楷体"/>
                <w:color w:val="auto"/>
              </w:rPr>
            </w:pPr>
            <w:r>
              <w:rPr>
                <w:rFonts w:hint="eastAsia" w:ascii="楷体" w:hAnsi="楷体" w:eastAsia="楷体"/>
                <w:color w:val="auto"/>
              </w:rPr>
              <w:t>1</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一种提高玉米幼苗低温出苗率及抗氧化酶活性的方法</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CN113207348B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0"/>
                <w:szCs w:val="20"/>
                <w:u w:val="none"/>
                <w:lang w:val="en-US" w:eastAsia="zh-CN" w:bidi="ar"/>
              </w:rPr>
              <w:t>杨丽娟,杨克军</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2</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一种大豆的分选装置</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CN114101063B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Style w:val="30"/>
                <w:lang w:val="en-US" w:eastAsia="zh-CN" w:bidi="ar"/>
              </w:rPr>
              <w:t>曹亮</w:t>
            </w:r>
            <w:r>
              <w:rPr>
                <w:rStyle w:val="31"/>
                <w:rFonts w:eastAsia="宋体"/>
                <w:lang w:val="en-US" w:eastAsia="zh-CN" w:bidi="ar"/>
              </w:rPr>
              <w:t>,</w:t>
            </w:r>
            <w:r>
              <w:rPr>
                <w:rStyle w:val="30"/>
                <w:lang w:val="en-US" w:eastAsia="zh-CN" w:bidi="ar"/>
              </w:rPr>
              <w:t>任春元</w:t>
            </w:r>
            <w:r>
              <w:rPr>
                <w:rStyle w:val="31"/>
                <w:rFonts w:eastAsia="宋体"/>
                <w:lang w:val="en-US" w:eastAsia="zh-CN" w:bidi="ar"/>
              </w:rPr>
              <w:t>,</w:t>
            </w:r>
            <w:r>
              <w:rPr>
                <w:rStyle w:val="30"/>
                <w:lang w:val="en-US" w:eastAsia="zh-CN" w:bidi="ar"/>
              </w:rPr>
              <w:t>杜昕</w:t>
            </w:r>
            <w:r>
              <w:rPr>
                <w:rStyle w:val="31"/>
                <w:rFonts w:eastAsia="宋体"/>
                <w:lang w:val="en-US" w:eastAsia="zh-CN" w:bidi="ar"/>
              </w:rPr>
              <w:t>,</w:t>
            </w:r>
            <w:r>
              <w:rPr>
                <w:rStyle w:val="30"/>
                <w:lang w:val="en-US" w:eastAsia="zh-CN" w:bidi="ar"/>
              </w:rPr>
              <w:t>贝世俊</w:t>
            </w:r>
            <w:r>
              <w:rPr>
                <w:rStyle w:val="31"/>
                <w:rFonts w:eastAsia="宋体"/>
                <w:lang w:val="en-US" w:eastAsia="zh-CN" w:bidi="ar"/>
              </w:rPr>
              <w:t>,</w:t>
            </w:r>
            <w:r>
              <w:rPr>
                <w:rStyle w:val="30"/>
                <w:lang w:val="en-US" w:eastAsia="zh-CN" w:bidi="ar"/>
              </w:rPr>
              <w:t>王孟雪</w:t>
            </w:r>
            <w:r>
              <w:rPr>
                <w:rStyle w:val="31"/>
                <w:rFonts w:eastAsia="宋体"/>
                <w:lang w:val="en-US" w:eastAsia="zh-CN" w:bidi="ar"/>
              </w:rPr>
              <w:t>,</w:t>
            </w:r>
            <w:r>
              <w:rPr>
                <w:rStyle w:val="30"/>
                <w:lang w:val="en-US" w:eastAsia="zh-CN" w:bidi="ar"/>
              </w:rPr>
              <w:t>张玉先</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3</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一种植物抗逆相关蛋白PvNAC52及其编码基因和应用</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CN114736279B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0"/>
                <w:szCs w:val="20"/>
                <w:u w:val="none"/>
                <w:lang w:val="en-US" w:eastAsia="zh-CN" w:bidi="ar"/>
              </w:rPr>
              <w:t>于崧，刘梦红，翟玲侠，秦猛，张翼飞，于立河</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4</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一种巨大芽孢杆菌及其发酵液在促进植物发芽中的应用</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CN112143687B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Style w:val="30"/>
                <w:lang w:val="en-US" w:eastAsia="zh-CN" w:bidi="ar"/>
              </w:rPr>
              <w:t>林志伟</w:t>
            </w:r>
            <w:r>
              <w:rPr>
                <w:rStyle w:val="31"/>
                <w:rFonts w:eastAsia="宋体"/>
                <w:lang w:val="en-US" w:eastAsia="zh-CN" w:bidi="ar"/>
              </w:rPr>
              <w:t>,</w:t>
            </w:r>
            <w:r>
              <w:rPr>
                <w:rStyle w:val="30"/>
                <w:lang w:val="en-US" w:eastAsia="zh-CN" w:bidi="ar"/>
              </w:rPr>
              <w:t>肖翠红</w:t>
            </w:r>
            <w:r>
              <w:rPr>
                <w:rStyle w:val="31"/>
                <w:rFonts w:eastAsia="宋体"/>
                <w:lang w:val="en-US" w:eastAsia="zh-CN" w:bidi="ar"/>
              </w:rPr>
              <w:t>,</w:t>
            </w:r>
            <w:r>
              <w:rPr>
                <w:rStyle w:val="30"/>
                <w:lang w:val="en-US" w:eastAsia="zh-CN" w:bidi="ar"/>
              </w:rPr>
              <w:t>孙冬梅</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5</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一种提高寒地玉米抗倒伏能力与子粒品质的施肥方法</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CN111165145B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0"/>
                <w:szCs w:val="20"/>
                <w:u w:val="none"/>
                <w:lang w:val="en-US" w:eastAsia="zh-CN" w:bidi="ar"/>
              </w:rPr>
              <w:t>张翼飞，于崧，杨克军，杨丽，尹雪巍，王怀鹏，王玉凤</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6</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玉米茎秆去顶切割粉碎一体割台及装置</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CN111699840B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0"/>
                <w:szCs w:val="20"/>
                <w:u w:val="none"/>
                <w:lang w:val="en-US" w:eastAsia="zh-CN" w:bidi="ar"/>
              </w:rPr>
              <w:t>张翼飞,赵良琦,于崧</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7</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一种简便快速高效的绿豆直接再生组培方法</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CN113907005B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0"/>
                <w:szCs w:val="20"/>
                <w:u w:val="none"/>
                <w:lang w:val="en-US" w:eastAsia="zh-CN" w:bidi="ar"/>
              </w:rPr>
              <w:t>梁喜龙，李晓驹，方淑梅，韩文革，王庆艳，鞠世杰，胡瑞学</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8</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一种提高玉米机械粒收质量和子粒商品品质的冠层调控方法</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CN112154876B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0"/>
                <w:szCs w:val="20"/>
                <w:u w:val="none"/>
                <w:lang w:val="en-US" w:eastAsia="zh-CN" w:bidi="ar"/>
              </w:rPr>
              <w:t>于崧,张翼飞</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9</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一种种衣剂</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CN111393227B</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0"/>
                <w:szCs w:val="20"/>
                <w:u w:val="none"/>
                <w:lang w:val="en-US" w:eastAsia="zh-CN" w:bidi="ar"/>
              </w:rPr>
              <w:t>金喜军,王孟雪,曹亮,任春元,张明聪,于高波,周旭,李婷</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发明专利</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56"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10</w:t>
            </w:r>
          </w:p>
        </w:tc>
        <w:tc>
          <w:tcPr>
            <w:tcW w:w="1475"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马铃薯育种技术虚拟仿真软件V1.0</w:t>
            </w:r>
          </w:p>
        </w:tc>
        <w:tc>
          <w:tcPr>
            <w:tcW w:w="1776"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2022SR1044788</w:t>
            </w:r>
          </w:p>
        </w:tc>
        <w:tc>
          <w:tcPr>
            <w:tcW w:w="1477"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中国</w:t>
            </w:r>
          </w:p>
        </w:tc>
        <w:tc>
          <w:tcPr>
            <w:tcW w:w="1173"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0"/>
                <w:szCs w:val="20"/>
                <w:u w:val="none"/>
                <w:lang w:val="en-US" w:eastAsia="zh-CN" w:bidi="ar"/>
              </w:rPr>
              <w:t>姜丽丽,金光辉,张桂芝,孙丽芳,王腾,王霞,高树仁</w:t>
            </w:r>
          </w:p>
        </w:tc>
        <w:tc>
          <w:tcPr>
            <w:tcW w:w="870"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软件</w:t>
            </w:r>
          </w:p>
        </w:tc>
        <w:tc>
          <w:tcPr>
            <w:tcW w:w="772" w:type="dxa"/>
            <w:vAlign w:val="center"/>
          </w:tcPr>
          <w:p>
            <w:pPr>
              <w:keepNext w:val="0"/>
              <w:keepLines w:val="0"/>
              <w:widowControl/>
              <w:suppressLineNumbers w:val="0"/>
              <w:jc w:val="left"/>
              <w:textAlignment w:val="center"/>
              <w:rPr>
                <w:rFonts w:ascii="仿宋" w:hAnsi="仿宋" w:eastAsia="仿宋"/>
                <w:color w:val="auto"/>
                <w:sz w:val="28"/>
                <w:szCs w:val="28"/>
              </w:rPr>
            </w:pPr>
            <w:r>
              <w:rPr>
                <w:rFonts w:hint="eastAsia" w:ascii="宋体" w:hAnsi="宋体" w:eastAsia="宋体" w:cs="宋体"/>
                <w:i w:val="0"/>
                <w:iCs w:val="0"/>
                <w:color w:val="000000"/>
                <w:kern w:val="0"/>
                <w:sz w:val="22"/>
                <w:szCs w:val="22"/>
                <w:u w:val="none"/>
                <w:lang w:val="en-US" w:eastAsia="zh-CN" w:bidi="ar"/>
              </w:rPr>
              <w:t>合作完成—第一人</w:t>
            </w:r>
          </w:p>
        </w:tc>
      </w:tr>
    </w:tbl>
    <w:p>
      <w:pPr>
        <w:spacing w:before="163" w:beforeLines="50"/>
        <w:ind w:left="2" w:leftChars="1" w:firstLine="480" w:firstLineChars="200"/>
        <w:rPr>
          <w:rFonts w:ascii="楷体" w:hAnsi="楷体" w:eastAsia="楷体" w:cs="仿宋_GB2312"/>
          <w:color w:val="auto"/>
        </w:rPr>
      </w:pPr>
      <w:r>
        <w:rPr>
          <w:rFonts w:hint="eastAsia" w:ascii="楷体" w:hAnsi="楷体" w:eastAsia="楷体" w:cs="仿宋_GB2312"/>
          <w:color w:val="auto"/>
        </w:rPr>
        <w:t>注：（1）国内外同内容的专利不得重复统计。（2）</w:t>
      </w:r>
      <w:r>
        <w:rPr>
          <w:rFonts w:hint="eastAsia" w:ascii="楷体" w:hAnsi="楷体" w:eastAsia="楷体" w:cs="仿宋_GB2312"/>
          <w:bCs/>
          <w:color w:val="auto"/>
        </w:rPr>
        <w:t>专利：</w:t>
      </w:r>
      <w:r>
        <w:rPr>
          <w:rFonts w:hint="eastAsia" w:ascii="楷体" w:hAnsi="楷体" w:eastAsia="楷体" w:cs="仿宋_GB2312"/>
          <w:color w:val="auto"/>
        </w:rPr>
        <w:t>批准的发明专利，以证书为准。</w:t>
      </w:r>
      <w:r>
        <w:rPr>
          <w:rFonts w:hint="eastAsia" w:ascii="楷体" w:hAnsi="楷体" w:eastAsia="楷体" w:cs="仿宋_GB2312"/>
          <w:color w:val="auto"/>
          <w:highlight w:val="none"/>
        </w:rPr>
        <w:t>（3）</w:t>
      </w:r>
      <w:r>
        <w:rPr>
          <w:rFonts w:hint="eastAsia" w:ascii="楷体" w:hAnsi="楷体" w:eastAsia="楷体" w:cs="宋体"/>
          <w:bCs/>
          <w:color w:val="auto"/>
          <w:highlight w:val="none"/>
        </w:rPr>
        <w:t>完成人：</w:t>
      </w:r>
      <w:r>
        <w:rPr>
          <w:rFonts w:ascii="楷体" w:hAnsi="楷体" w:eastAsia="楷体" w:cs="仿宋_GB2312"/>
          <w:color w:val="auto"/>
          <w:highlight w:val="none"/>
        </w:rPr>
        <w:t>必须是</w:t>
      </w:r>
      <w:r>
        <w:rPr>
          <w:rFonts w:hint="eastAsia" w:ascii="楷体" w:hAnsi="楷体" w:eastAsia="楷体" w:cs="仿宋_GB2312"/>
          <w:color w:val="auto"/>
          <w:highlight w:val="none"/>
          <w:lang w:val="en-US" w:eastAsia="zh-CN"/>
        </w:rPr>
        <w:t>示范</w:t>
      </w:r>
      <w:r>
        <w:rPr>
          <w:rFonts w:ascii="楷体" w:hAnsi="楷体" w:eastAsia="楷体" w:cs="仿宋_GB2312"/>
          <w:color w:val="auto"/>
          <w:highlight w:val="none"/>
        </w:rPr>
        <w:t>中心</w:t>
      </w:r>
      <w:r>
        <w:rPr>
          <w:rFonts w:hint="eastAsia" w:ascii="楷体" w:hAnsi="楷体" w:eastAsia="楷体" w:cs="仿宋_GB2312"/>
          <w:color w:val="auto"/>
          <w:highlight w:val="none"/>
        </w:rPr>
        <w:t>人员</w:t>
      </w:r>
      <w:r>
        <w:rPr>
          <w:rFonts w:hint="eastAsia" w:ascii="楷体" w:hAnsi="楷体" w:eastAsia="楷体" w:cs="仿宋_GB2312"/>
          <w:strike w:val="0"/>
          <w:dstrike w:val="0"/>
          <w:color w:val="auto"/>
          <w:highlight w:val="none"/>
        </w:rPr>
        <w:t>（含固定人员和流动人员）</w:t>
      </w:r>
      <w:r>
        <w:rPr>
          <w:rFonts w:hint="eastAsia" w:ascii="楷体" w:hAnsi="楷体" w:eastAsia="楷体" w:cs="仿宋_GB2312"/>
          <w:strike w:val="0"/>
          <w:color w:val="auto"/>
          <w:highlight w:val="none"/>
        </w:rPr>
        <w:t>，</w:t>
      </w:r>
      <w:r>
        <w:rPr>
          <w:rFonts w:hint="eastAsia" w:ascii="楷体" w:hAnsi="楷体" w:eastAsia="楷体" w:cs="仿宋_GB2312"/>
          <w:color w:val="auto"/>
          <w:highlight w:val="none"/>
        </w:rPr>
        <w:t>多个中心完成人只需填写靠前的一位，排名在类别中体现</w:t>
      </w:r>
      <w:r>
        <w:rPr>
          <w:rFonts w:ascii="楷体" w:hAnsi="楷体" w:eastAsia="楷体" w:cs="仿宋_GB2312"/>
          <w:color w:val="auto"/>
          <w:highlight w:val="none"/>
        </w:rPr>
        <w:t>。</w:t>
      </w:r>
      <w:r>
        <w:rPr>
          <w:rFonts w:hint="eastAsia" w:ascii="楷体" w:hAnsi="楷体" w:eastAsia="楷体" w:cs="仿宋_GB2312"/>
          <w:color w:val="auto"/>
          <w:highlight w:val="none"/>
        </w:rPr>
        <w:t>（</w:t>
      </w:r>
      <w:r>
        <w:rPr>
          <w:rFonts w:hint="eastAsia" w:ascii="楷体" w:hAnsi="楷体" w:eastAsia="楷体" w:cs="仿宋_GB2312"/>
          <w:color w:val="auto"/>
        </w:rPr>
        <w:t>4）</w:t>
      </w:r>
      <w:r>
        <w:rPr>
          <w:rFonts w:hint="eastAsia" w:ascii="楷体" w:hAnsi="楷体" w:eastAsia="楷体" w:cs="宋体"/>
          <w:bCs/>
          <w:color w:val="auto"/>
        </w:rPr>
        <w:t>类型：</w:t>
      </w:r>
      <w:r>
        <w:rPr>
          <w:rFonts w:hint="eastAsia" w:ascii="楷体" w:hAnsi="楷体" w:eastAsia="楷体" w:cs="宋体"/>
          <w:color w:val="auto"/>
        </w:rPr>
        <w:t>其他等同于</w:t>
      </w:r>
      <w:r>
        <w:rPr>
          <w:rFonts w:hint="eastAsia" w:ascii="楷体" w:hAnsi="楷体" w:eastAsia="楷体" w:cs="仿宋_GB2312"/>
          <w:color w:val="auto"/>
        </w:rPr>
        <w:t>发明专利的成果，如新药、软件、标准、规范等，在类型栏中标明。（5）</w:t>
      </w:r>
      <w:r>
        <w:rPr>
          <w:rFonts w:hint="eastAsia" w:ascii="楷体" w:hAnsi="楷体" w:eastAsia="楷体" w:cs="宋体"/>
          <w:bCs/>
          <w:color w:val="auto"/>
        </w:rPr>
        <w:t>类别：</w:t>
      </w:r>
      <w:r>
        <w:rPr>
          <w:rFonts w:hint="eastAsia" w:ascii="楷体" w:hAnsi="楷体" w:eastAsia="楷体" w:cs="宋体"/>
          <w:color w:val="auto"/>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pPr>
        <w:spacing w:before="163" w:beforeLines="50"/>
        <w:ind w:firstLine="480" w:firstLineChars="200"/>
        <w:outlineLvl w:val="0"/>
        <w:rPr>
          <w:rFonts w:ascii="黑体" w:hAnsi="黑体" w:eastAsia="黑体" w:cs="仿宋_GB2312"/>
          <w:color w:val="auto"/>
        </w:rPr>
      </w:pPr>
      <w:r>
        <w:rPr>
          <w:rFonts w:hint="eastAsia" w:ascii="黑体" w:hAnsi="黑体" w:eastAsia="黑体" w:cs="仿宋_GB2312"/>
          <w:color w:val="auto"/>
        </w:rPr>
        <w:t>2.发表论文、专著情况</w:t>
      </w:r>
    </w:p>
    <w:tbl>
      <w:tblPr>
        <w:tblStyle w:val="7"/>
        <w:tblW w:w="4878"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4"/>
        <w:gridCol w:w="1918"/>
        <w:gridCol w:w="1180"/>
        <w:gridCol w:w="1502"/>
        <w:gridCol w:w="1467"/>
        <w:gridCol w:w="900"/>
        <w:gridCol w:w="7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75"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序号</w:t>
            </w:r>
          </w:p>
        </w:tc>
        <w:tc>
          <w:tcPr>
            <w:tcW w:w="1154"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论文或</w:t>
            </w:r>
          </w:p>
          <w:p>
            <w:pPr>
              <w:adjustRightInd w:val="0"/>
              <w:snapToGrid w:val="0"/>
              <w:jc w:val="center"/>
              <w:rPr>
                <w:rFonts w:ascii="黑体" w:hAnsi="黑体" w:eastAsia="黑体" w:cs="宋体"/>
                <w:color w:val="auto"/>
              </w:rPr>
            </w:pPr>
            <w:r>
              <w:rPr>
                <w:rFonts w:hint="eastAsia" w:ascii="黑体" w:hAnsi="黑体" w:eastAsia="黑体" w:cs="宋体"/>
                <w:color w:val="auto"/>
              </w:rPr>
              <w:t>专著名称</w:t>
            </w:r>
          </w:p>
        </w:tc>
        <w:tc>
          <w:tcPr>
            <w:tcW w:w="710"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作者</w:t>
            </w:r>
          </w:p>
        </w:tc>
        <w:tc>
          <w:tcPr>
            <w:tcW w:w="903"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刊物、出版社名称</w:t>
            </w:r>
          </w:p>
        </w:tc>
        <w:tc>
          <w:tcPr>
            <w:tcW w:w="882"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卷、期</w:t>
            </w:r>
          </w:p>
          <w:p>
            <w:pPr>
              <w:adjustRightInd w:val="0"/>
              <w:snapToGrid w:val="0"/>
              <w:jc w:val="center"/>
              <w:rPr>
                <w:rFonts w:ascii="黑体" w:hAnsi="黑体" w:eastAsia="黑体" w:cs="宋体"/>
                <w:color w:val="auto"/>
              </w:rPr>
            </w:pPr>
            <w:r>
              <w:rPr>
                <w:rFonts w:hint="eastAsia" w:ascii="黑体" w:hAnsi="黑体" w:eastAsia="黑体" w:cs="宋体"/>
                <w:color w:val="auto"/>
              </w:rPr>
              <w:t>（或章节）、页</w:t>
            </w:r>
          </w:p>
        </w:tc>
        <w:tc>
          <w:tcPr>
            <w:tcW w:w="541"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类型</w:t>
            </w:r>
          </w:p>
        </w:tc>
        <w:tc>
          <w:tcPr>
            <w:tcW w:w="432" w:type="pct"/>
            <w:vAlign w:val="center"/>
          </w:tcPr>
          <w:p>
            <w:pPr>
              <w:tabs>
                <w:tab w:val="left" w:pos="492"/>
              </w:tabs>
              <w:adjustRightInd w:val="0"/>
              <w:snapToGrid w:val="0"/>
              <w:jc w:val="center"/>
              <w:rPr>
                <w:rFonts w:ascii="黑体" w:hAnsi="黑体" w:eastAsia="黑体" w:cs="宋体"/>
                <w:color w:val="auto"/>
              </w:rPr>
            </w:pPr>
            <w:r>
              <w:rPr>
                <w:rFonts w:hint="eastAsia" w:ascii="黑体" w:hAnsi="黑体" w:eastAsia="黑体" w:cs="宋体"/>
                <w:color w:val="auto"/>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Co-elevation of atmospheric [CO2] and temperature alters photosynthetic capacity and instantaneous water use efficiency in rice cultivars in a cold-temperate region</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Chunyu Zhang,Yansheng Li,Zhenhua Yu,Guanghua Wang,Xiaobing Liu,Junjie Liu,Judong Liu,Xingmei Zhang,Kuide Yin,Jian Jin</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 Plant Sci.</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13:1037720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Structure, Function, and Applications of Soybean Calcium Transporters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贾博为,李媛,孙晓丽,孙明哲</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international journal of molecular sciences</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Nov 17;23(22):14220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Changes in the Physical, Chemical, and Bacterial Community Characteristics of Soil in Response to Short-Term Combined Organic–Inorganic Fertilizers in a Dry Direct-Seeded Paddy Field</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郭晓红,邹冰,徐令旗,张佳柠,郑桂萍,王海泽,殷大伟,李红宇,张文忠,吕艳东,赵明辉</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Agronomy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2022,12（5）：2808</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Postharvest treatments with MnCl2 and ZnCl2 reduce enzymatic browning and enhance antioxidant accumulation in soya bean sprout</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金喜军</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scicentific reports</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Nov 2;12(1):18454</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Histological and molecular responses of Vigna angularis to Uromyces vignae infection</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柯希望,王杰,徐晓丹,郭永霞,左豫虎,殷丽华</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BMC Plant Biology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Oct 14;22(1):489.</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6</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Insight into the regulation of wild soybean tolerance to salt-alkaline stress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孙晓丽,才晓溪,贾博为,孙明哲</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Oct 19;13:1002302.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7</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Chelator Iminodisuccinic Acid Regulates Reactive Oxygen Species Accumulation and Improves Maize (Zea mays L.) Seed Germination under Pb Stress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张翼飞</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plants</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Sep 22;11(19):2487.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8</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The common bean (Phaseolus vulgaris) SULTR gene family: genome-wide identification, phylogeny, evolutionary expansion and expression patterns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赵 强,杜吉到</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Biotechnology &amp; Biotechnological equipment</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Jan 14;22(1):33.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9</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Yield and Resource Utilization Efficiency Gap in Early Maturing Japonica Rice Cultivars under Different Management Strategies—A Different Location Investigation</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郭晓红</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Agriculture-basel</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2022,12(7):1010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10</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Wood vinegar alleviates photosynthetic inhibition and oxidative damage caused by Pseudomonas syringae pv. tabaci (Pst) infection in tobacco leaves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Yuan Ye,Sun Hongwei,Wang Yue,Xu Zisong,Han Shixin,He Guoqiang,Kuide Yin,Huihui Zhang</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Journal of Plant Interactions</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17（1）:801-811</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11</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Exogenous 6-benzyladenine treatment alleviates cold stress in early japonica rice at booting in Northeast China</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王士强</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Agronomy Journal</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10.1016/S2095-3119(19)62639-0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12</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Osa-miR1320 targets the ERF transcription factor OsERF096 to regulate cold tolerance via JA-mediated signaling</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孙明哲,沈阳,陈悦,王研,才晓溪,杨珺凯,贾博为,董伟峰,陈茜,孙晓丽</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Plant physiology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Aug 1;189(4):2500-2516.</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13</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Genome- and transcriptome-wide identification and analysis of B3 superfamily members and their association with salt stress response in the common bean (Phaseolus vulgaris L)</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杜艳丽,张琦,李蔚佳,李思琪,张文静,王淇,尹震功,张文慧,杜吉到,赵 强</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Scientia Horticulturae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2022, 305, 111408</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14</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Effect of feeding geese in cornfields on soil bacterial diversity and metabolic function</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刘爽,金剑,杨焕民,王鹏,刘权,黄玉兰,张兴梅,殷奎德</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Applied Soil Ecology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175： 104448</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15</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Isolation and identification of an endophytic bacteria Bacillus sp. K-9 exhibiting biocontrol activity against potato common scab</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马爽,王彦杰,王腾,金光辉</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Archives of Microbiology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Jul 14;204(8):483.</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16</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Yield and Resource Utilization Efficiency Gap in Early Maturing Japonica Rice Cultivars under Different Management Strategies—A Different Location Investigation</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吕艳东,胡月,孙芙静,霍宛乐,李红宇,刘丽华,殷大伟,郑桂萍,郭晓红</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agriculture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2022,12(7):1010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17</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Genome-wide identification of the LBD transcription factor genes in common bean (Phaseolus vulgaris L.) and expression analysis under different abiotic stresses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杜艳丽,赵 强,李蔚佳,耿菁,李思琪,袁宪凯,谷延华,钟靖雯,张玉先,杜吉到</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Journal of  Plant Interactions</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17 (1), 731–743</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18</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Combined Organic and Inorganic Fertilization Can Enhance Dry Direct-Seeded Rice Yield by Improving Soil Fungal Community and Structure</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郭晓红</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Agronomy-Basel</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2022，12（5）：1213</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19</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Transcription factor bZIP65 deleys flowering via suppressing Ehd1 expression in rice</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苗兴芬</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20</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Identification and Expression Analysis of bZIP Members under Abiotic Stress in Mung Bean (Vigna radiata)</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张文慧</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life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Jun 22;12(7):938.</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21</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Exogenous melatonin enhances soybean (Glycine max (L.) Merr.) seedling tolerance to saline-alkali stress by regulating antioxidant response and DNA damage repair</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赵 强,张玉先,杜吉到</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Physiologia Plantarum</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Jul;174(4):e13731.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22</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Involvement of Phospholipase C in Photosynthesis and Growth of Maize Seedlings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魏玉磊,刘新宇,盖胜男,张海洋,车欣洋,刘仕缘,刘德斌,李慧欣,谷心如,贺琳,李佐同,徐晶宇</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Genes </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Jun 3;13(6):1011.</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23</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Genome-wide identification and expression analysis of phospholipase D gene in leaves of sorghum in response to abiotic stresses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魏金鹏,邵文静,刘新宇,贺琳,赵长江,于高波,徐晶宇</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Physiology and Molecular Biology of Plants</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Jun;28(6):1261-1276.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24</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Effects of Different Tillage Measures on Soil Temperature and Humidity and Photosynthetic Capacity of Soybean</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王孟雪,李多,张明聪,傅晨野,金喜军,张玉先,黄炳林,任春元</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Wireless Communications and Mobile Computing</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May 29：3338395</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25</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Genome-Wide Identification of Wild Soybean Mitochondrial Calcium Uniporter Family Genes and Their Responses to Cold and Carbonate Alkaline Stresses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孙晓丽,李建伟,孙明哲,刘瑀,殷奎德</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May 3;13:867503.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26</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Combined Organic and Inorganic Fertilization Can Enhance Dry Direct-Seeded Rice Yield by Improving Soil Fungal Community and Structure</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郭晓红,刘嘉俊,徐令旗,孙芙静,马悦涵,殷大伟,高强,郑桂萍,吕艳东</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agronomy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2022，12（5）：1213</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27</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Dynamic and adaptive membrane lipid remodeling in leaves of sorghum under salt stress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盖胜男,刘德斌,褚敏,刘新宇,魏玉磊,车欣洋,朱磊,贺琳,徐晶宇</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The Crop Journal</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10(6):1557–1569.</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28</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Metabolic and Physiological Changes in the Roots of Two Oat Cultivars in Response to Complex Saline-Alkali Stress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高玉刚,金永玲,郭伟,薛盈文,于立河</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Mar 29;13:835414.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29</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Immunostimulatory activity of soybean hull  polysaccharide on macrophages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王孟雪,傅晨野,张明聪,张玉先,曹亮</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EXPERIMENTAL AND THERAPEUTIC MEDICINE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Jun;23(6):389.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30</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Genome-wide identification of the SWEET gene family in Phaseolus vulgaris L. and their patterns of expression under abiotic stress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杜艳丽,李蔚佳,耿菁,李思琪,张文静,刘贤先,张兆宁,范亚茹,袁宪凯,杜吉到,赵 强</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Journal of  Plant Interactions</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17 (1), 390–403</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31</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Combined Organic and Inorganic Fertilization Can Enhance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Dry Direct-Seeded Rice Yield by Improving Soil Fungal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Community and Structure</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郭晓红,吕艳东</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Agronomy-basel</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2022，12（5）：1213</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32</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Determining Nitrogen Accumulation and Nitrogen Use Efficiency of Mung Bean with Organic Nitrogen and N-15-labeled Chemical Fertilizer</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王鹏</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COMMUNICATIONS IN SOIL SCIENCE AND PLANT ANALYSIS</w:t>
            </w:r>
          </w:p>
        </w:tc>
        <w:tc>
          <w:tcPr>
            <w:tcW w:w="882" w:type="pct"/>
            <w:vAlign w:val="center"/>
          </w:tcPr>
          <w:p>
            <w:pPr>
              <w:rPr>
                <w:rFonts w:hint="eastAsia" w:ascii="楷体" w:hAnsi="楷体" w:eastAsia="楷体"/>
                <w:color w:val="auto"/>
                <w:lang w:val="en-US" w:eastAsia="zh-CN"/>
              </w:rPr>
            </w:pP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33</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Efects of straw and straw-derived biochar on bacterial diversity in soda saline-alkaline paddy soil</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李红宇</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Annals of Microbiology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2022,4</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34</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Effect of Negative Pressure Irrigation on Dry Matter Accumulation and Nutrient Absorption of Eggplant</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王鹏</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JOURNAL OF BIOBASED MATERIALS AND BIOENERGY</w:t>
            </w:r>
          </w:p>
        </w:tc>
        <w:tc>
          <w:tcPr>
            <w:tcW w:w="882" w:type="pct"/>
            <w:vAlign w:val="center"/>
          </w:tcPr>
          <w:p>
            <w:pPr>
              <w:rPr>
                <w:rFonts w:hint="eastAsia" w:ascii="楷体" w:hAnsi="楷体" w:eastAsia="楷体"/>
                <w:color w:val="auto"/>
                <w:lang w:val="en-US" w:eastAsia="zh-CN"/>
              </w:rPr>
            </w:pP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35</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Exogenous DCPTA Treatment Increases Mung Bean Yield by Improving Carbon Metabolism Pathway and Up-Regulating Photosynthetic Capacity and Antioxidants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郭永霞,高玉玲</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Apr 12;13:796694.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36</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Exogenous Melatonin Modulates Physiological Response to Nitrogen and Improves Yield in Nitrogen-Deficient Soybean (Glycine max L. Merr.)</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王华美,任春元,张玉先</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May 16;13:865758.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37</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Integration of Metabolomics and Transcriptomics for Investigating the Tolerance of Foxtail Millet (Setaria italica) to Atrazine Stress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孙丽芳,刘立滨</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Jun 10;13:890550.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38</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The molecular characteristics of soybean ARR-B transcription factors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张玉先</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Biocell</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2022,02</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39</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 preliminary mapping of QTL qsg5.1 controlling seed germination in melon (Cucumis melo L.)</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Ling Wang, Junfeng Li, Fen Yang, Dongyang Dai, Xiang Li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and Yunyan Sheng*</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 10.3389/fpls.2022.925081</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40</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Effect of Negative Presure Irrigation on Dry Matter Accumulation and Nutrient Absorption of Eggplant</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何晓蕾</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Journal of Biobased Materials and Bioengry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16,48-55</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41</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First Report of Alternaria alternata Causing Leaf Spot on Kidney Bean in China</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YaZhong Jin, YaNan Xiong , ChangJian Xu , JinLi Ren , YongXia Guo*,YuHu Zuo*, YouLi Zhang*, XueQing Geng</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Plant disease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106:1531.</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42</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Jasmonic acid promotes glutathione assisted degradation of chlorothalonil during tomato growth</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Gao-Bo Yu*, Ru-Nan Chen, Qiu-Sen Chen, Feng-Qiong Chen, Han-Lin Liu,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Chun-Yuan Ren, Yu-Xian Zhang, Feng-Jun Yang, Jin-Peng Wei</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 Ecotoxicology and Environmental Safety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2022.233,113296</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43</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Metabolism of Residual Fungicides by Inducing UDP-Glycosyltransferase Genes in Tomato</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Gaobo Yu*, Qiusen Chen, Fengqiong Chen, Hanlin Liu, Jiaxin Lin, Runan Chen, Chunyuan Ren, Jinpeng Wei, Yuxian Zhang, Fengjun Yang,Yunyan Sheng</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 Frontier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2022，13，893508</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44</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Effects of biochar on the microenvironment of saline-sodic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soil and maize growth</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Zhihui Wang , Hongyi Wang , Changjiang Zhao , Kejun Yang , Zuotong Li and Kuide Yin </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Agronomy-Basel</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12(11), 2859</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45</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Exogenous Melatonin Modulates Physiological Response to Nitrogen and Improves Yield in Nitrogen-Deficient Soybean (Glycine max L. Merr.)</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Huamei Wang, Chunyuan Ren, Liang Cao, Qiang Zhao, Xijun Jin, Mengxue Wang,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Mingcong Zhang, Gaobo Yu* and Yuxian Zhang*</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2022,(13)865758</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46</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Metabolic and Physiological Changes in the Roots of Two Oat Cultivars in Response to Complex Saline-Alkali Stress</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高玉刚,金永玲,郭伟,薛盈文,于立河</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FRONTIERS IN PLANT SCIENCE</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2022,13,835414</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47</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Primary Mapping and Analysis of the CmARM14 Candidate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Gene for Mature Fruit Abscission in Melon</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Dongyang Dai, Ling Wang, Junming Zhang, Haojie Qin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Huiying Liu,* and Yunyan Sheng*</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Agronomy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2022, 12, 3117. </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48</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 Inversion method of particle size distribution of milk fat based on improved MPGA</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Ding G, Zhou Z, Wu Y, Peng JI*</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 Frontiers in Bioengineering and Biotechnology</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2022, 10.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49</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Identifcation of fruit frmness QTL f2.1 by SLAF</w:t>
            </w:r>
            <w:r>
              <w:rPr>
                <w:rFonts w:hint="eastAsia" w:ascii="宋体" w:hAnsi="宋体" w:eastAsia="宋体" w:cs="宋体"/>
                <w:i w:val="0"/>
                <w:iCs w:val="0"/>
                <w:color w:val="000000"/>
                <w:kern w:val="0"/>
                <w:sz w:val="20"/>
                <w:szCs w:val="20"/>
                <w:u w:val="none"/>
                <w:lang w:val="en-US" w:eastAsia="zh-CN" w:bidi="ar"/>
              </w:rPr>
              <w:noBreakHyphen/>
            </w:r>
            <w:r>
              <w:rPr>
                <w:rFonts w:hint="eastAsia" w:ascii="宋体" w:hAnsi="宋体" w:eastAsia="宋体" w:cs="宋体"/>
                <w:i w:val="0"/>
                <w:iCs w:val="0"/>
                <w:color w:val="000000"/>
                <w:kern w:val="0"/>
                <w:sz w:val="20"/>
                <w:szCs w:val="20"/>
                <w:u w:val="none"/>
                <w:lang w:val="en-US" w:eastAsia="zh-CN" w:bidi="ar"/>
              </w:rPr>
              <w:t xml:space="preserve">BSA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and QTL mapping in melon</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 xml:space="preserve">Dongyang Dai · Shuang Zeng · Ling Wang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Junfeng Li · Peng Ji · Huiying Liu · Yunyan Sheng</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Euphytica</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2022,218:52</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SCI(E)</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50</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甜瓜果柄离区细胞学观察及成熟脱落基因 AL3的初步定位</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盛云燕，杨丽敏，戴冬洋，张佳欣，王岭，王迪，才羿，田丽美*</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园艺学报</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2022，49 (2)：341–351.</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北大中文核心</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51</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保护地鲜食番茄新品种“垦番１号”的选育</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李响，杨升，王岭，田丽美，刘琳帅，齐国超</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北方园艺</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2022(17):158-160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北大中文核心</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52</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外源褪黑素对菜用大豆残留百菌清和多菌灵降解的影响</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陈秋森，陈凤琼，刘汉林，褚霈宇，王华美，任春元，赵强，曹亮，于高波*，张玉先*</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中国油料作物学报</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2022,44(4):893-900</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北大中文核心</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53</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黄瓜嫁接苗与接种哈茨木霉菌黄瓜直根苗对根腐病防效及根系生理响应</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靳亚忠,熊亚男,齐娟,刘蕾庆,任金立,李春霞,卢美燕,陈慧,陈泳池</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干旱地区农业研究</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2022,40(4):10-22</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北大中文核心</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54</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生物炭对甜瓜幼苗质量与根系生理特性的影响</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马光恕,梁枭,张渟,李润哲,廉华</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干旱地区农业研究</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2022,40(05):212-221</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北大中文核心</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55</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拟康氏木霉菌剂对黄瓜幼苗生长、抗氧化系统及枯萎病防效的影响</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马光恕,张渟,李润哲,李梅,廉华</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干旱地区农业研究</w:t>
            </w:r>
          </w:p>
        </w:tc>
        <w:tc>
          <w:tcPr>
            <w:tcW w:w="882" w:type="pct"/>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2022,40(06):72-81，107.</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北大中文核心</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56</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寒地甜瓜产量与品质生理调控机制的研究</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廉 华</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东北林业大学出版社</w:t>
            </w:r>
          </w:p>
        </w:tc>
        <w:tc>
          <w:tcPr>
            <w:tcW w:w="882" w:type="pct"/>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2022.</w:t>
            </w:r>
            <w:r>
              <w:rPr>
                <w:rFonts w:hint="default" w:ascii="宋体" w:hAnsi="宋体" w:eastAsia="宋体" w:cs="宋体"/>
                <w:i w:val="0"/>
                <w:iCs w:val="0"/>
                <w:color w:val="000000"/>
                <w:kern w:val="0"/>
                <w:sz w:val="20"/>
                <w:szCs w:val="20"/>
                <w:u w:val="none"/>
                <w:lang w:val="en-US" w:eastAsia="zh-CN" w:bidi="ar"/>
              </w:rPr>
              <w:t>11</w:t>
            </w:r>
          </w:p>
        </w:tc>
        <w:tc>
          <w:tcPr>
            <w:tcW w:w="541" w:type="pct"/>
            <w:vAlign w:val="center"/>
          </w:tcPr>
          <w:p>
            <w:pPr>
              <w:rPr>
                <w:rFonts w:hint="eastAsia" w:ascii="楷体" w:hAnsi="楷体" w:eastAsia="楷体"/>
                <w:color w:val="auto"/>
                <w:lang w:val="en-US" w:eastAsia="zh-CN"/>
              </w:rPr>
            </w:pP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57</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生物炭对松嫩平原盐碱地土壤微环境及作物生长发育的影响</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王智慧</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中国农业科学技术出版社</w:t>
            </w:r>
          </w:p>
        </w:tc>
        <w:tc>
          <w:tcPr>
            <w:tcW w:w="882" w:type="pct"/>
            <w:vAlign w:val="center"/>
          </w:tcPr>
          <w:p>
            <w:pPr>
              <w:keepNext w:val="0"/>
              <w:keepLines w:val="0"/>
              <w:widowControl/>
              <w:suppressLineNumbers w:val="0"/>
              <w:jc w:val="both"/>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w:t>
            </w:r>
          </w:p>
        </w:tc>
        <w:tc>
          <w:tcPr>
            <w:tcW w:w="541" w:type="pct"/>
            <w:vAlign w:val="center"/>
          </w:tcPr>
          <w:p>
            <w:pPr>
              <w:rPr>
                <w:rFonts w:hint="eastAsia" w:ascii="楷体" w:hAnsi="楷体" w:eastAsia="楷体"/>
                <w:color w:val="auto"/>
                <w:lang w:val="en-US" w:eastAsia="zh-CN"/>
              </w:rPr>
            </w:pP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58</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基于叶片光谱反射率的寒地水稻稻米蛋白质含量预测</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王志君,李红宇,夏玉莹,范名宇,赵海成</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农业工程学报</w:t>
            </w:r>
          </w:p>
        </w:tc>
        <w:tc>
          <w:tcPr>
            <w:tcW w:w="88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2022,38(21):147-158</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EI Compendex</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合作完成—其它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59</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寒地水稻高产优质群体优化研究与示范</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曹亮</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东北农业大学出版社</w:t>
            </w:r>
          </w:p>
        </w:tc>
        <w:tc>
          <w:tcPr>
            <w:tcW w:w="882" w:type="pct"/>
            <w:vAlign w:val="center"/>
          </w:tcPr>
          <w:p>
            <w:pPr>
              <w:keepNext w:val="0"/>
              <w:keepLines w:val="0"/>
              <w:widowControl/>
              <w:suppressLineNumbers w:val="0"/>
              <w:jc w:val="both"/>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中文专著</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default" w:ascii="楷体" w:hAnsi="楷体" w:eastAsia="楷体"/>
                <w:color w:val="auto"/>
                <w:lang w:val="en-US" w:eastAsia="zh-CN"/>
              </w:rPr>
            </w:pPr>
            <w:r>
              <w:rPr>
                <w:rFonts w:hint="eastAsia" w:ascii="楷体" w:hAnsi="楷体" w:eastAsia="楷体"/>
                <w:color w:val="auto"/>
                <w:lang w:val="en-US" w:eastAsia="zh-CN"/>
              </w:rPr>
              <w:t>60</w:t>
            </w:r>
          </w:p>
        </w:tc>
        <w:tc>
          <w:tcPr>
            <w:tcW w:w="1154"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食用豆田节肢动物多样性及主要害虫研究</w:t>
            </w:r>
          </w:p>
        </w:tc>
        <w:tc>
          <w:tcPr>
            <w:tcW w:w="710"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金永玲</w:t>
            </w:r>
          </w:p>
        </w:tc>
        <w:tc>
          <w:tcPr>
            <w:tcW w:w="903"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中国农业科学技术出版社</w:t>
            </w:r>
          </w:p>
        </w:tc>
        <w:tc>
          <w:tcPr>
            <w:tcW w:w="882" w:type="pct"/>
            <w:vAlign w:val="center"/>
          </w:tcPr>
          <w:p>
            <w:pPr>
              <w:keepNext w:val="0"/>
              <w:keepLines w:val="0"/>
              <w:widowControl/>
              <w:suppressLineNumbers w:val="0"/>
              <w:jc w:val="both"/>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2022</w:t>
            </w:r>
          </w:p>
        </w:tc>
        <w:tc>
          <w:tcPr>
            <w:tcW w:w="541"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中文专著</w:t>
            </w:r>
          </w:p>
        </w:tc>
        <w:tc>
          <w:tcPr>
            <w:tcW w:w="432" w:type="pct"/>
            <w:vAlign w:val="center"/>
          </w:tcPr>
          <w:p>
            <w:pPr>
              <w:keepNext w:val="0"/>
              <w:keepLines w:val="0"/>
              <w:widowControl/>
              <w:suppressLineNumbers w:val="0"/>
              <w:jc w:val="left"/>
              <w:textAlignment w:val="center"/>
              <w:rPr>
                <w:rFonts w:hint="eastAsia" w:ascii="楷体" w:hAnsi="楷体" w:eastAsia="楷体"/>
                <w:color w:val="auto"/>
                <w:lang w:val="en-US" w:eastAsia="zh-CN"/>
              </w:rPr>
            </w:pPr>
            <w:r>
              <w:rPr>
                <w:rFonts w:hint="eastAsia" w:ascii="宋体" w:hAnsi="宋体" w:eastAsia="宋体" w:cs="宋体"/>
                <w:i w:val="0"/>
                <w:iCs w:val="0"/>
                <w:color w:val="000000"/>
                <w:kern w:val="0"/>
                <w:sz w:val="20"/>
                <w:szCs w:val="20"/>
                <w:u w:val="none"/>
                <w:lang w:val="en-US" w:eastAsia="zh-CN" w:bidi="ar"/>
              </w:rPr>
              <w:t>独立完成</w:t>
            </w:r>
          </w:p>
        </w:tc>
      </w:tr>
    </w:tbl>
    <w:p>
      <w:pPr>
        <w:spacing w:before="163" w:beforeLines="50"/>
        <w:ind w:left="2" w:leftChars="1" w:firstLine="480" w:firstLineChars="200"/>
        <w:rPr>
          <w:rFonts w:ascii="楷体" w:hAnsi="楷体" w:eastAsia="楷体" w:cs="仿宋_GB2312"/>
          <w:color w:val="auto"/>
        </w:rPr>
      </w:pPr>
      <w:r>
        <w:rPr>
          <w:rFonts w:hint="eastAsia" w:ascii="楷体" w:hAnsi="楷体" w:eastAsia="楷体"/>
          <w:bCs/>
          <w:color w:val="auto"/>
        </w:rPr>
        <w:t>注</w:t>
      </w:r>
      <w:r>
        <w:rPr>
          <w:rFonts w:hint="eastAsia" w:ascii="楷体" w:hAnsi="楷体" w:eastAsia="楷体" w:cs="仿宋_GB2312"/>
          <w:color w:val="auto"/>
        </w:rPr>
        <w:t>：（1）论文、专著均限于教学研究、学术期刊论文或专著，一般文献综述、一般教材及会议论文不在此填报。请将有</w:t>
      </w:r>
      <w:r>
        <w:rPr>
          <w:rFonts w:hint="eastAsia" w:ascii="楷体" w:hAnsi="楷体" w:eastAsia="楷体" w:cs="仿宋_GB2312"/>
          <w:strike w:val="0"/>
          <w:dstrike w:val="0"/>
          <w:color w:val="auto"/>
          <w:lang w:val="en-US" w:eastAsia="zh-CN"/>
        </w:rPr>
        <w:t>示范</w:t>
      </w:r>
      <w:r>
        <w:rPr>
          <w:rFonts w:hint="eastAsia" w:ascii="楷体" w:hAnsi="楷体" w:eastAsia="楷体" w:cs="仿宋_GB2312"/>
          <w:strike w:val="0"/>
          <w:dstrike w:val="0"/>
          <w:color w:val="auto"/>
        </w:rPr>
        <w:t>中心人员（含固定人员和流动人员）署名</w:t>
      </w:r>
      <w:r>
        <w:rPr>
          <w:rFonts w:hint="eastAsia" w:ascii="楷体" w:hAnsi="楷体" w:eastAsia="楷体" w:cs="仿宋_GB2312"/>
          <w:color w:val="auto"/>
        </w:rPr>
        <w:t>的论文、专著依次以国外刊物、国内重要刊物，外文专著、中文专著为序分别填报。</w:t>
      </w:r>
      <w:r>
        <w:rPr>
          <w:rFonts w:hint="eastAsia" w:ascii="Times New Roman" w:hAnsi="Times New Roman" w:eastAsia="楷体" w:cs="Times New Roman"/>
          <w:color w:val="auto"/>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color w:val="auto"/>
        </w:rPr>
        <w:t>外文专著、中文专著；</w:t>
      </w:r>
      <w:r>
        <w:rPr>
          <w:rFonts w:hint="eastAsia" w:ascii="Times New Roman" w:hAnsi="Times New Roman" w:eastAsia="楷体" w:cs="Times New Roman"/>
          <w:color w:val="auto"/>
        </w:rPr>
        <w:t>国际会议论文集论文不予统计，</w:t>
      </w:r>
      <w:r>
        <w:rPr>
          <w:rFonts w:hint="eastAsia" w:ascii="楷体" w:hAnsi="楷体" w:eastAsia="楷体" w:cs="仿宋_GB2312"/>
          <w:color w:val="auto"/>
        </w:rPr>
        <w:t>可对国内发行的英文版学术期刊论文进行填报，但不得与中文版期刊同内容的论文重复。（3）</w:t>
      </w:r>
      <w:r>
        <w:rPr>
          <w:rFonts w:hint="eastAsia" w:ascii="楷体" w:hAnsi="楷体" w:eastAsia="楷体" w:cs="仿宋_GB2312"/>
          <w:bCs/>
          <w:color w:val="auto"/>
        </w:rPr>
        <w:t>外文专著：</w:t>
      </w:r>
      <w:r>
        <w:rPr>
          <w:rFonts w:hint="eastAsia" w:ascii="楷体" w:hAnsi="楷体" w:eastAsia="楷体" w:cs="仿宋_GB2312"/>
          <w:color w:val="auto"/>
        </w:rPr>
        <w:t>正式出版的学术著作。（4）</w:t>
      </w:r>
      <w:r>
        <w:rPr>
          <w:rFonts w:hint="eastAsia" w:ascii="楷体" w:hAnsi="楷体" w:eastAsia="楷体" w:cs="仿宋_GB2312"/>
          <w:bCs/>
          <w:color w:val="auto"/>
        </w:rPr>
        <w:t>中文专著：</w:t>
      </w:r>
      <w:r>
        <w:rPr>
          <w:rFonts w:hint="eastAsia" w:ascii="楷体" w:hAnsi="楷体" w:eastAsia="楷体" w:cs="仿宋_GB2312"/>
          <w:color w:val="auto"/>
        </w:rPr>
        <w:t>正式出版的学术著作，不包括译著、实验室年报、论文集等。（5）</w:t>
      </w:r>
      <w:r>
        <w:rPr>
          <w:rFonts w:hint="eastAsia" w:ascii="楷体" w:hAnsi="楷体" w:eastAsia="楷体" w:cs="仿宋_GB2312"/>
          <w:bCs/>
          <w:color w:val="auto"/>
        </w:rPr>
        <w:t>作者：</w:t>
      </w:r>
      <w:r>
        <w:rPr>
          <w:rFonts w:hint="eastAsia" w:ascii="楷体" w:hAnsi="楷体" w:eastAsia="楷体" w:cs="仿宋_GB2312"/>
          <w:color w:val="auto"/>
        </w:rPr>
        <w:t>多个作者只需填写中心成员靠前的一位，排名在类别中体现</w:t>
      </w:r>
      <w:r>
        <w:rPr>
          <w:rFonts w:ascii="楷体" w:hAnsi="楷体" w:eastAsia="楷体" w:cs="仿宋_GB2312"/>
          <w:color w:val="auto"/>
        </w:rPr>
        <w:t>。</w:t>
      </w:r>
    </w:p>
    <w:p>
      <w:pPr>
        <w:spacing w:before="163" w:beforeLines="50"/>
        <w:ind w:firstLine="480" w:firstLineChars="200"/>
        <w:outlineLvl w:val="0"/>
        <w:rPr>
          <w:rFonts w:ascii="黑体" w:hAnsi="黑体" w:eastAsia="黑体"/>
          <w:color w:val="auto"/>
        </w:rPr>
      </w:pPr>
      <w:r>
        <w:rPr>
          <w:rFonts w:hint="eastAsia" w:ascii="黑体" w:hAnsi="黑体" w:eastAsia="黑体" w:cs="仿宋_GB2312"/>
          <w:color w:val="auto"/>
        </w:rPr>
        <w:t>3.仪器设备的研制和改装情况</w:t>
      </w:r>
    </w:p>
    <w:tbl>
      <w:tblPr>
        <w:tblStyle w:val="7"/>
        <w:tblW w:w="4874" w:type="pct"/>
        <w:tblInd w:w="1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84"/>
        <w:gridCol w:w="1173"/>
        <w:gridCol w:w="1219"/>
        <w:gridCol w:w="1324"/>
        <w:gridCol w:w="2072"/>
        <w:gridCol w:w="19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352"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序号</w:t>
            </w:r>
          </w:p>
        </w:tc>
        <w:tc>
          <w:tcPr>
            <w:tcW w:w="706"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仪器设</w:t>
            </w:r>
          </w:p>
          <w:p>
            <w:pPr>
              <w:adjustRightInd w:val="0"/>
              <w:snapToGrid w:val="0"/>
              <w:jc w:val="center"/>
              <w:rPr>
                <w:rFonts w:ascii="黑体" w:hAnsi="黑体" w:eastAsia="黑体" w:cs="宋体"/>
                <w:color w:val="auto"/>
              </w:rPr>
            </w:pPr>
            <w:r>
              <w:rPr>
                <w:rFonts w:hint="eastAsia" w:ascii="黑体" w:hAnsi="黑体" w:eastAsia="黑体" w:cs="宋体"/>
                <w:color w:val="auto"/>
              </w:rPr>
              <w:t>备名称</w:t>
            </w:r>
          </w:p>
        </w:tc>
        <w:tc>
          <w:tcPr>
            <w:tcW w:w="734"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自制或</w:t>
            </w:r>
          </w:p>
          <w:p>
            <w:pPr>
              <w:adjustRightInd w:val="0"/>
              <w:snapToGrid w:val="0"/>
              <w:jc w:val="center"/>
              <w:rPr>
                <w:rFonts w:ascii="黑体" w:hAnsi="黑体" w:eastAsia="黑体" w:cs="宋体"/>
                <w:color w:val="auto"/>
              </w:rPr>
            </w:pPr>
            <w:r>
              <w:rPr>
                <w:rFonts w:hint="eastAsia" w:ascii="黑体" w:hAnsi="黑体" w:eastAsia="黑体" w:cs="宋体"/>
                <w:color w:val="auto"/>
              </w:rPr>
              <w:t>改装</w:t>
            </w:r>
          </w:p>
        </w:tc>
        <w:tc>
          <w:tcPr>
            <w:tcW w:w="797" w:type="pct"/>
            <w:vAlign w:val="center"/>
          </w:tcPr>
          <w:p>
            <w:pPr>
              <w:adjustRightInd w:val="0"/>
              <w:snapToGrid w:val="0"/>
              <w:ind w:left="-120" w:leftChars="-50" w:right="-120" w:rightChars="-50"/>
              <w:jc w:val="center"/>
              <w:rPr>
                <w:rFonts w:ascii="黑体" w:hAnsi="黑体" w:eastAsia="黑体" w:cs="宋体"/>
                <w:color w:val="auto"/>
              </w:rPr>
            </w:pPr>
            <w:r>
              <w:rPr>
                <w:rFonts w:hint="eastAsia" w:ascii="黑体" w:hAnsi="黑体" w:eastAsia="黑体" w:cs="宋体"/>
                <w:color w:val="auto"/>
              </w:rPr>
              <w:t>开发的功能和用途</w:t>
            </w:r>
          </w:p>
          <w:p>
            <w:pPr>
              <w:adjustRightInd w:val="0"/>
              <w:snapToGrid w:val="0"/>
              <w:jc w:val="center"/>
              <w:rPr>
                <w:rFonts w:ascii="黑体" w:hAnsi="黑体" w:eastAsia="黑体" w:cs="宋体"/>
                <w:color w:val="auto"/>
              </w:rPr>
            </w:pPr>
            <w:r>
              <w:rPr>
                <w:rFonts w:hint="eastAsia" w:ascii="黑体" w:hAnsi="黑体" w:eastAsia="黑体" w:cs="宋体"/>
                <w:color w:val="auto"/>
              </w:rPr>
              <w:t>（限100字以内）</w:t>
            </w:r>
          </w:p>
        </w:tc>
        <w:tc>
          <w:tcPr>
            <w:tcW w:w="1247"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研究成果</w:t>
            </w:r>
          </w:p>
          <w:p>
            <w:pPr>
              <w:adjustRightInd w:val="0"/>
              <w:snapToGrid w:val="0"/>
              <w:ind w:left="-240" w:leftChars="-100" w:right="-120" w:rightChars="-50"/>
              <w:jc w:val="center"/>
              <w:rPr>
                <w:rFonts w:ascii="黑体" w:hAnsi="黑体" w:eastAsia="黑体" w:cs="宋体"/>
                <w:color w:val="auto"/>
              </w:rPr>
            </w:pPr>
            <w:r>
              <w:rPr>
                <w:rFonts w:hint="eastAsia" w:ascii="黑体" w:hAnsi="黑体" w:eastAsia="黑体" w:cs="宋体"/>
                <w:color w:val="auto"/>
              </w:rPr>
              <w:t>（限100字以内）</w:t>
            </w:r>
          </w:p>
        </w:tc>
        <w:tc>
          <w:tcPr>
            <w:tcW w:w="1161"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52" w:type="pct"/>
            <w:vAlign w:val="center"/>
          </w:tcPr>
          <w:p>
            <w:pPr>
              <w:adjustRightInd w:val="0"/>
              <w:snapToGrid w:val="0"/>
              <w:jc w:val="center"/>
              <w:rPr>
                <w:rFonts w:hint="eastAsia" w:ascii="楷体" w:hAnsi="楷体" w:eastAsia="楷体"/>
                <w:color w:val="auto"/>
                <w:lang w:val="en-US" w:eastAsia="zh-CN"/>
              </w:rPr>
            </w:pPr>
          </w:p>
        </w:tc>
        <w:tc>
          <w:tcPr>
            <w:tcW w:w="706" w:type="pct"/>
            <w:vAlign w:val="center"/>
          </w:tcPr>
          <w:p>
            <w:pPr>
              <w:adjustRightInd w:val="0"/>
              <w:snapToGrid w:val="0"/>
              <w:jc w:val="center"/>
              <w:rPr>
                <w:rFonts w:hint="eastAsia" w:ascii="楷体" w:hAnsi="楷体" w:eastAsia="楷体"/>
                <w:color w:val="auto"/>
                <w:lang w:val="en-US" w:eastAsia="zh-CN"/>
              </w:rPr>
            </w:pPr>
          </w:p>
        </w:tc>
        <w:tc>
          <w:tcPr>
            <w:tcW w:w="734" w:type="pct"/>
            <w:vAlign w:val="center"/>
          </w:tcPr>
          <w:p>
            <w:pPr>
              <w:adjustRightInd w:val="0"/>
              <w:snapToGrid w:val="0"/>
              <w:jc w:val="center"/>
              <w:rPr>
                <w:rFonts w:hint="eastAsia" w:ascii="楷体" w:hAnsi="楷体" w:eastAsia="楷体"/>
                <w:color w:val="auto"/>
                <w:lang w:val="en-US" w:eastAsia="zh-CN"/>
              </w:rPr>
            </w:pPr>
          </w:p>
        </w:tc>
        <w:tc>
          <w:tcPr>
            <w:tcW w:w="797" w:type="pct"/>
            <w:vAlign w:val="center"/>
          </w:tcPr>
          <w:p>
            <w:pPr>
              <w:adjustRightInd w:val="0"/>
              <w:snapToGrid w:val="0"/>
              <w:jc w:val="center"/>
              <w:rPr>
                <w:rFonts w:hint="eastAsia" w:ascii="楷体" w:hAnsi="楷体" w:eastAsia="楷体"/>
                <w:color w:val="auto"/>
                <w:lang w:val="en-US" w:eastAsia="zh-CN"/>
              </w:rPr>
            </w:pPr>
          </w:p>
        </w:tc>
        <w:tc>
          <w:tcPr>
            <w:tcW w:w="1247" w:type="pct"/>
            <w:vAlign w:val="center"/>
          </w:tcPr>
          <w:p>
            <w:pPr>
              <w:adjustRightInd w:val="0"/>
              <w:snapToGrid w:val="0"/>
              <w:jc w:val="center"/>
              <w:rPr>
                <w:rFonts w:hint="eastAsia" w:ascii="楷体" w:hAnsi="楷体" w:eastAsia="楷体"/>
                <w:color w:val="auto"/>
                <w:lang w:val="en-US" w:eastAsia="zh-CN"/>
              </w:rPr>
            </w:pPr>
          </w:p>
        </w:tc>
        <w:tc>
          <w:tcPr>
            <w:tcW w:w="1161" w:type="pct"/>
            <w:vAlign w:val="center"/>
          </w:tcPr>
          <w:p>
            <w:pPr>
              <w:adjustRightInd w:val="0"/>
              <w:snapToGrid w:val="0"/>
              <w:jc w:val="center"/>
              <w:rPr>
                <w:rFonts w:hint="eastAsia" w:ascii="楷体" w:hAnsi="楷体" w:eastAsia="楷体"/>
                <w:color w:val="auto"/>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52" w:type="pct"/>
            <w:vAlign w:val="center"/>
          </w:tcPr>
          <w:p>
            <w:pPr>
              <w:adjustRightInd w:val="0"/>
              <w:snapToGrid w:val="0"/>
              <w:jc w:val="center"/>
              <w:rPr>
                <w:rFonts w:hint="eastAsia" w:ascii="楷体" w:hAnsi="楷体" w:eastAsia="楷体"/>
                <w:color w:val="auto"/>
                <w:lang w:val="en-US" w:eastAsia="zh-CN"/>
              </w:rPr>
            </w:pPr>
          </w:p>
        </w:tc>
        <w:tc>
          <w:tcPr>
            <w:tcW w:w="706" w:type="pct"/>
            <w:vAlign w:val="center"/>
          </w:tcPr>
          <w:p>
            <w:pPr>
              <w:adjustRightInd w:val="0"/>
              <w:snapToGrid w:val="0"/>
              <w:jc w:val="center"/>
              <w:rPr>
                <w:rFonts w:hint="eastAsia" w:ascii="楷体" w:hAnsi="楷体" w:eastAsia="楷体"/>
                <w:color w:val="auto"/>
                <w:lang w:val="en-US" w:eastAsia="zh-CN"/>
              </w:rPr>
            </w:pPr>
          </w:p>
        </w:tc>
        <w:tc>
          <w:tcPr>
            <w:tcW w:w="734" w:type="pct"/>
            <w:vAlign w:val="center"/>
          </w:tcPr>
          <w:p>
            <w:pPr>
              <w:adjustRightInd w:val="0"/>
              <w:snapToGrid w:val="0"/>
              <w:jc w:val="center"/>
              <w:rPr>
                <w:rFonts w:hint="eastAsia" w:ascii="楷体" w:hAnsi="楷体" w:eastAsia="楷体"/>
                <w:color w:val="auto"/>
                <w:lang w:val="en-US" w:eastAsia="zh-CN"/>
              </w:rPr>
            </w:pPr>
          </w:p>
        </w:tc>
        <w:tc>
          <w:tcPr>
            <w:tcW w:w="797" w:type="pct"/>
            <w:vAlign w:val="center"/>
          </w:tcPr>
          <w:p>
            <w:pPr>
              <w:adjustRightInd w:val="0"/>
              <w:snapToGrid w:val="0"/>
              <w:jc w:val="center"/>
              <w:rPr>
                <w:rFonts w:hint="eastAsia" w:ascii="楷体" w:hAnsi="楷体" w:eastAsia="楷体"/>
                <w:color w:val="auto"/>
                <w:lang w:val="en-US" w:eastAsia="zh-CN"/>
              </w:rPr>
            </w:pPr>
          </w:p>
        </w:tc>
        <w:tc>
          <w:tcPr>
            <w:tcW w:w="1247" w:type="pct"/>
            <w:vAlign w:val="center"/>
          </w:tcPr>
          <w:p>
            <w:pPr>
              <w:adjustRightInd w:val="0"/>
              <w:snapToGrid w:val="0"/>
              <w:jc w:val="center"/>
              <w:rPr>
                <w:rFonts w:hint="eastAsia" w:ascii="楷体" w:hAnsi="楷体" w:eastAsia="楷体"/>
                <w:color w:val="auto"/>
                <w:lang w:val="en-US" w:eastAsia="zh-CN"/>
              </w:rPr>
            </w:pPr>
          </w:p>
        </w:tc>
        <w:tc>
          <w:tcPr>
            <w:tcW w:w="1161" w:type="pct"/>
            <w:vAlign w:val="center"/>
          </w:tcPr>
          <w:p>
            <w:pPr>
              <w:adjustRightInd w:val="0"/>
              <w:snapToGrid w:val="0"/>
              <w:jc w:val="center"/>
              <w:rPr>
                <w:rFonts w:hint="eastAsia" w:ascii="楷体" w:hAnsi="楷体" w:eastAsia="楷体"/>
                <w:color w:val="auto"/>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52" w:type="pct"/>
            <w:vAlign w:val="center"/>
          </w:tcPr>
          <w:p>
            <w:pPr>
              <w:adjustRightInd w:val="0"/>
              <w:snapToGrid w:val="0"/>
              <w:jc w:val="center"/>
              <w:rPr>
                <w:rFonts w:hint="eastAsia" w:ascii="楷体" w:hAnsi="楷体" w:eastAsia="楷体"/>
                <w:color w:val="auto"/>
                <w:lang w:val="en-US" w:eastAsia="zh-CN"/>
              </w:rPr>
            </w:pPr>
          </w:p>
        </w:tc>
        <w:tc>
          <w:tcPr>
            <w:tcW w:w="706" w:type="pct"/>
            <w:vAlign w:val="center"/>
          </w:tcPr>
          <w:p>
            <w:pPr>
              <w:adjustRightInd w:val="0"/>
              <w:snapToGrid w:val="0"/>
              <w:jc w:val="center"/>
              <w:rPr>
                <w:rFonts w:hint="eastAsia" w:ascii="楷体" w:hAnsi="楷体" w:eastAsia="楷体"/>
                <w:color w:val="auto"/>
                <w:lang w:val="en-US" w:eastAsia="zh-CN"/>
              </w:rPr>
            </w:pPr>
          </w:p>
        </w:tc>
        <w:tc>
          <w:tcPr>
            <w:tcW w:w="734" w:type="pct"/>
            <w:vAlign w:val="center"/>
          </w:tcPr>
          <w:p>
            <w:pPr>
              <w:adjustRightInd w:val="0"/>
              <w:snapToGrid w:val="0"/>
              <w:jc w:val="center"/>
              <w:rPr>
                <w:rFonts w:hint="eastAsia" w:ascii="楷体" w:hAnsi="楷体" w:eastAsia="楷体"/>
                <w:color w:val="auto"/>
                <w:lang w:val="en-US" w:eastAsia="zh-CN"/>
              </w:rPr>
            </w:pPr>
          </w:p>
        </w:tc>
        <w:tc>
          <w:tcPr>
            <w:tcW w:w="797" w:type="pct"/>
            <w:vAlign w:val="center"/>
          </w:tcPr>
          <w:p>
            <w:pPr>
              <w:adjustRightInd w:val="0"/>
              <w:snapToGrid w:val="0"/>
              <w:jc w:val="center"/>
              <w:rPr>
                <w:rFonts w:hint="eastAsia" w:ascii="楷体" w:hAnsi="楷体" w:eastAsia="楷体"/>
                <w:color w:val="auto"/>
                <w:lang w:val="en-US" w:eastAsia="zh-CN"/>
              </w:rPr>
            </w:pPr>
          </w:p>
        </w:tc>
        <w:tc>
          <w:tcPr>
            <w:tcW w:w="1247" w:type="pct"/>
            <w:vAlign w:val="center"/>
          </w:tcPr>
          <w:p>
            <w:pPr>
              <w:adjustRightInd w:val="0"/>
              <w:snapToGrid w:val="0"/>
              <w:jc w:val="center"/>
              <w:rPr>
                <w:rFonts w:hint="eastAsia" w:ascii="楷体" w:hAnsi="楷体" w:eastAsia="楷体"/>
                <w:color w:val="auto"/>
                <w:lang w:val="en-US" w:eastAsia="zh-CN"/>
              </w:rPr>
            </w:pPr>
          </w:p>
        </w:tc>
        <w:tc>
          <w:tcPr>
            <w:tcW w:w="1161" w:type="pct"/>
            <w:vAlign w:val="center"/>
          </w:tcPr>
          <w:p>
            <w:pPr>
              <w:adjustRightInd w:val="0"/>
              <w:snapToGrid w:val="0"/>
              <w:jc w:val="center"/>
              <w:rPr>
                <w:rFonts w:hint="eastAsia" w:ascii="楷体" w:hAnsi="楷体" w:eastAsia="楷体"/>
                <w:color w:val="auto"/>
                <w:lang w:eastAsia="zh-CN"/>
              </w:rPr>
            </w:pPr>
          </w:p>
        </w:tc>
      </w:tr>
    </w:tbl>
    <w:p>
      <w:pPr>
        <w:spacing w:before="163" w:beforeLines="50"/>
        <w:ind w:firstLine="480" w:firstLineChars="200"/>
        <w:rPr>
          <w:rFonts w:ascii="楷体" w:hAnsi="楷体" w:eastAsia="楷体"/>
          <w:color w:val="auto"/>
        </w:rPr>
      </w:pPr>
      <w:r>
        <w:rPr>
          <w:rFonts w:hint="eastAsia" w:ascii="楷体" w:hAnsi="楷体" w:eastAsia="楷体" w:cs="仿宋_GB2312"/>
          <w:bCs/>
          <w:color w:val="auto"/>
        </w:rPr>
        <w:t>注：（1）自制：</w:t>
      </w:r>
      <w:r>
        <w:rPr>
          <w:rFonts w:hint="eastAsia" w:ascii="楷体" w:hAnsi="楷体" w:eastAsia="楷体" w:cs="仿宋_GB2312"/>
          <w:color w:val="auto"/>
        </w:rPr>
        <w:t>实验室自行研制的仪器设备。（2）</w:t>
      </w:r>
      <w:r>
        <w:rPr>
          <w:rFonts w:hint="eastAsia" w:ascii="楷体" w:hAnsi="楷体" w:eastAsia="楷体" w:cs="仿宋_GB2312"/>
          <w:bCs/>
          <w:color w:val="auto"/>
        </w:rPr>
        <w:t>改装：</w:t>
      </w:r>
      <w:r>
        <w:rPr>
          <w:rFonts w:hint="eastAsia" w:ascii="楷体" w:hAnsi="楷体" w:eastAsia="楷体" w:cs="仿宋_GB2312"/>
          <w:color w:val="auto"/>
        </w:rPr>
        <w:t>对购置的仪器设备进行改装，赋予其新的功能和用途。（3）</w:t>
      </w:r>
      <w:r>
        <w:rPr>
          <w:rFonts w:hint="eastAsia" w:ascii="楷体" w:hAnsi="楷体" w:eastAsia="楷体" w:cs="仿宋_GB2312"/>
          <w:bCs/>
          <w:color w:val="auto"/>
        </w:rPr>
        <w:t>研究成果：</w:t>
      </w:r>
      <w:r>
        <w:rPr>
          <w:rFonts w:hint="eastAsia" w:ascii="楷体" w:hAnsi="楷体" w:eastAsia="楷体" w:cs="仿宋_GB2312"/>
          <w:color w:val="auto"/>
        </w:rPr>
        <w:t>用新研制或改装的仪器设备进行研究的创新性成果，列举</w:t>
      </w:r>
      <w:r>
        <w:rPr>
          <w:rFonts w:hint="eastAsia" w:ascii="楷体" w:hAnsi="楷体" w:eastAsia="楷体"/>
          <w:color w:val="auto"/>
        </w:rPr>
        <w:t>1－2</w:t>
      </w:r>
      <w:r>
        <w:rPr>
          <w:rFonts w:hint="eastAsia" w:ascii="楷体" w:hAnsi="楷体" w:eastAsia="楷体" w:cs="仿宋_GB2312"/>
          <w:color w:val="auto"/>
        </w:rPr>
        <w:t>项。</w:t>
      </w:r>
    </w:p>
    <w:p>
      <w:pPr>
        <w:spacing w:before="163" w:beforeLines="50" w:after="163" w:afterLines="50"/>
        <w:ind w:firstLine="480" w:firstLineChars="200"/>
        <w:rPr>
          <w:rFonts w:ascii="黑体" w:hAnsi="黑体" w:eastAsia="黑体" w:cs="仿宋_GB2312"/>
          <w:color w:val="auto"/>
        </w:rPr>
      </w:pPr>
      <w:r>
        <w:rPr>
          <w:rFonts w:hint="eastAsia" w:ascii="黑体" w:hAnsi="黑体" w:eastAsia="黑体" w:cs="仿宋_GB2312"/>
          <w:color w:val="auto"/>
        </w:rPr>
        <w:t>4.其它成果情况</w:t>
      </w:r>
    </w:p>
    <w:tbl>
      <w:tblPr>
        <w:tblStyle w:val="7"/>
        <w:tblW w:w="4874"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52"/>
        <w:gridCol w:w="38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名称</w:t>
            </w:r>
          </w:p>
        </w:tc>
        <w:tc>
          <w:tcPr>
            <w:tcW w:w="2318" w:type="pct"/>
            <w:vAlign w:val="center"/>
          </w:tcPr>
          <w:p>
            <w:pPr>
              <w:adjustRightInd w:val="0"/>
              <w:snapToGrid w:val="0"/>
              <w:jc w:val="center"/>
              <w:rPr>
                <w:rFonts w:ascii="黑体" w:hAnsi="黑体" w:eastAsia="黑体" w:cs="宋体"/>
                <w:color w:val="auto"/>
              </w:rPr>
            </w:pPr>
            <w:r>
              <w:rPr>
                <w:rFonts w:hint="eastAsia" w:ascii="黑体" w:hAnsi="黑体" w:eastAsia="黑体" w:cs="宋体"/>
                <w:color w:val="auto"/>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国内会议论文数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0</w:t>
            </w:r>
            <w:r>
              <w:rPr>
                <w:rFonts w:hint="eastAsia" w:ascii="楷体" w:hAnsi="楷体" w:eastAsia="楷体" w:cs="仿宋_GB2312"/>
                <w:color w:val="auto"/>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国际会议论文数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0</w:t>
            </w:r>
            <w:r>
              <w:rPr>
                <w:rFonts w:hint="eastAsia" w:ascii="楷体" w:hAnsi="楷体" w:eastAsia="楷体" w:cs="仿宋_GB2312"/>
                <w:color w:val="auto"/>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国内一般刊物发表论文数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71</w:t>
            </w:r>
            <w:r>
              <w:rPr>
                <w:rFonts w:hint="eastAsia" w:ascii="楷体" w:hAnsi="楷体" w:eastAsia="楷体" w:cs="仿宋_GB2312"/>
                <w:color w:val="auto"/>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省部委奖数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0</w:t>
            </w:r>
            <w:r>
              <w:rPr>
                <w:rFonts w:hint="eastAsia" w:ascii="楷体" w:hAnsi="楷体" w:eastAsia="楷体" w:cs="仿宋_GB2312"/>
                <w:color w:val="auto"/>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color w:val="auto"/>
              </w:rPr>
            </w:pPr>
            <w:r>
              <w:rPr>
                <w:rFonts w:hint="eastAsia" w:ascii="楷体" w:hAnsi="楷体" w:eastAsia="楷体" w:cs="仿宋_GB2312"/>
                <w:color w:val="auto"/>
              </w:rPr>
              <w:t>其它奖数</w:t>
            </w:r>
          </w:p>
        </w:tc>
        <w:tc>
          <w:tcPr>
            <w:tcW w:w="2318" w:type="pct"/>
            <w:vAlign w:val="center"/>
          </w:tcPr>
          <w:p>
            <w:pPr>
              <w:adjustRightInd w:val="0"/>
              <w:snapToGrid w:val="0"/>
              <w:jc w:val="right"/>
              <w:rPr>
                <w:rFonts w:ascii="楷体" w:hAnsi="楷体" w:eastAsia="楷体" w:cs="仿宋_GB2312"/>
                <w:color w:val="auto"/>
              </w:rPr>
            </w:pPr>
            <w:r>
              <w:rPr>
                <w:rFonts w:hint="eastAsia" w:ascii="楷体" w:hAnsi="楷体" w:eastAsia="楷体" w:cs="仿宋_GB2312"/>
                <w:color w:val="auto"/>
                <w:lang w:val="en-US" w:eastAsia="zh-CN"/>
              </w:rPr>
              <w:t>0项</w:t>
            </w:r>
          </w:p>
        </w:tc>
      </w:tr>
    </w:tbl>
    <w:p>
      <w:pPr>
        <w:spacing w:before="163" w:beforeLines="50"/>
        <w:ind w:firstLine="480" w:firstLineChars="200"/>
        <w:rPr>
          <w:rFonts w:hint="eastAsia" w:ascii="楷体" w:hAnsi="楷体" w:eastAsia="楷体" w:cs="仿宋_GB2312"/>
          <w:color w:val="auto"/>
        </w:rPr>
      </w:pPr>
      <w:r>
        <w:rPr>
          <w:rFonts w:hint="eastAsia" w:ascii="楷体" w:hAnsi="楷体" w:eastAsia="楷体" w:cs="仿宋_GB2312"/>
          <w:bCs/>
          <w:color w:val="auto"/>
        </w:rPr>
        <w:t>注：国内一般刊物：</w:t>
      </w:r>
      <w:r>
        <w:rPr>
          <w:rFonts w:hint="eastAsia" w:ascii="楷体" w:hAnsi="楷体" w:eastAsia="楷体" w:cs="仿宋_GB2312"/>
          <w:color w:val="auto"/>
        </w:rPr>
        <w:t>除“（</w:t>
      </w:r>
      <w:r>
        <w:rPr>
          <w:rFonts w:hint="eastAsia" w:ascii="楷体" w:hAnsi="楷体" w:eastAsia="楷体" w:cs="仿宋_GB2312"/>
          <w:color w:val="auto"/>
          <w:lang w:val="en-US" w:eastAsia="zh-CN"/>
        </w:rPr>
        <w:t>二</w:t>
      </w:r>
      <w:r>
        <w:rPr>
          <w:rFonts w:hint="eastAsia" w:ascii="楷体" w:hAnsi="楷体" w:eastAsia="楷体" w:cs="仿宋_GB2312"/>
          <w:color w:val="auto"/>
        </w:rPr>
        <w:t>）2”以外的其他国内刊物，只填汇总数量。</w:t>
      </w:r>
    </w:p>
    <w:p>
      <w:pPr>
        <w:spacing w:before="163" w:beforeLines="50"/>
        <w:ind w:firstLine="643" w:firstLineChars="200"/>
        <w:rPr>
          <w:rFonts w:ascii="黑体" w:hAnsi="黑体" w:eastAsia="黑体"/>
          <w:b/>
          <w:color w:val="auto"/>
          <w:sz w:val="32"/>
          <w:szCs w:val="32"/>
        </w:rPr>
      </w:pPr>
      <w:r>
        <w:rPr>
          <w:rFonts w:hint="eastAsia" w:ascii="黑体" w:hAnsi="黑体" w:eastAsia="黑体"/>
          <w:b/>
          <w:color w:val="auto"/>
          <w:sz w:val="32"/>
          <w:szCs w:val="32"/>
        </w:rPr>
        <w:t>五、</w:t>
      </w:r>
      <w:r>
        <w:rPr>
          <w:rFonts w:hint="eastAsia" w:ascii="黑体" w:hAnsi="黑体" w:eastAsia="黑体" w:cs="仿宋_GB2312"/>
          <w:b/>
          <w:color w:val="auto"/>
          <w:sz w:val="32"/>
          <w:szCs w:val="32"/>
        </w:rPr>
        <w:t>信息化建设、开放运行和示范辐射情况</w:t>
      </w:r>
    </w:p>
    <w:p>
      <w:pPr>
        <w:spacing w:after="163" w:afterLines="50"/>
        <w:ind w:firstLine="560" w:firstLineChars="200"/>
        <w:rPr>
          <w:rFonts w:ascii="黑体" w:hAnsi="黑体" w:eastAsia="黑体"/>
          <w:color w:val="auto"/>
          <w:sz w:val="28"/>
          <w:szCs w:val="28"/>
        </w:rPr>
      </w:pPr>
      <w:r>
        <w:rPr>
          <w:rFonts w:hint="eastAsia" w:ascii="黑体" w:hAnsi="黑体" w:eastAsia="黑体"/>
          <w:color w:val="auto"/>
          <w:sz w:val="28"/>
          <w:szCs w:val="28"/>
        </w:rPr>
        <w:t>（一）信息化建设情况</w:t>
      </w:r>
    </w:p>
    <w:tbl>
      <w:tblPr>
        <w:tblStyle w:val="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65"/>
        <w:gridCol w:w="49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color w:val="auto"/>
              </w:rPr>
            </w:pPr>
            <w:r>
              <w:rPr>
                <w:rFonts w:hint="eastAsia" w:ascii="黑体" w:hAnsi="黑体" w:eastAsia="黑体"/>
                <w:color w:val="auto"/>
              </w:rPr>
              <w:t>中心网址</w:t>
            </w:r>
          </w:p>
        </w:tc>
        <w:tc>
          <w:tcPr>
            <w:tcW w:w="2906" w:type="pct"/>
          </w:tcPr>
          <w:p>
            <w:pPr>
              <w:adjustRightInd w:val="0"/>
              <w:snapToGrid w:val="0"/>
              <w:rPr>
                <w:rFonts w:ascii="仿宋" w:hAnsi="仿宋" w:eastAsia="仿宋"/>
                <w:color w:val="auto"/>
                <w:sz w:val="28"/>
                <w:szCs w:val="28"/>
              </w:rPr>
            </w:pPr>
            <w:r>
              <w:rPr>
                <w:rFonts w:ascii="宋体" w:hAnsi="宋体" w:eastAsia="宋体" w:cs="宋体"/>
                <w:sz w:val="24"/>
                <w:szCs w:val="24"/>
              </w:rPr>
              <w:drawing>
                <wp:inline distT="0" distB="0" distL="114300" distR="114300">
                  <wp:extent cx="190500" cy="1428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8"/>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sz w:val="24"/>
                <w:szCs w:val="24"/>
              </w:rPr>
              <w:t>http://10.1.3.65/_s68/main.psp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color w:val="auto"/>
              </w:rPr>
            </w:pPr>
            <w:r>
              <w:rPr>
                <w:rFonts w:hint="eastAsia" w:ascii="黑体" w:hAnsi="黑体" w:eastAsia="黑体"/>
                <w:color w:val="auto"/>
              </w:rPr>
              <w:t>中心网址年度访问总量</w:t>
            </w:r>
          </w:p>
        </w:tc>
        <w:tc>
          <w:tcPr>
            <w:tcW w:w="2906" w:type="pct"/>
          </w:tcPr>
          <w:p>
            <w:pPr>
              <w:adjustRightInd w:val="0"/>
              <w:snapToGrid w:val="0"/>
              <w:jc w:val="right"/>
              <w:rPr>
                <w:rFonts w:ascii="仿宋" w:hAnsi="仿宋" w:eastAsia="仿宋"/>
                <w:color w:val="auto"/>
                <w:sz w:val="28"/>
                <w:szCs w:val="28"/>
              </w:rPr>
            </w:pPr>
            <w:r>
              <w:rPr>
                <w:rFonts w:hint="eastAsia" w:ascii="Times New Roman" w:hAnsi="Times New Roman" w:eastAsia="仿宋" w:cs="Times New Roman"/>
                <w:color w:val="auto"/>
                <w:sz w:val="28"/>
                <w:szCs w:val="28"/>
                <w:lang w:val="en-US" w:eastAsia="zh-CN"/>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color w:val="auto"/>
              </w:rPr>
            </w:pPr>
            <w:r>
              <w:rPr>
                <w:rFonts w:hint="eastAsia" w:ascii="黑体" w:hAnsi="黑体" w:eastAsia="黑体"/>
                <w:color w:val="auto"/>
              </w:rPr>
              <w:t>虚拟仿真实验教学项目</w:t>
            </w:r>
          </w:p>
        </w:tc>
        <w:tc>
          <w:tcPr>
            <w:tcW w:w="2906" w:type="pct"/>
          </w:tcPr>
          <w:p>
            <w:pPr>
              <w:adjustRightInd w:val="0"/>
              <w:snapToGrid w:val="0"/>
              <w:jc w:val="right"/>
              <w:rPr>
                <w:rFonts w:ascii="仿宋" w:hAnsi="仿宋" w:eastAsia="仿宋"/>
                <w:color w:val="auto"/>
                <w:sz w:val="28"/>
                <w:szCs w:val="28"/>
              </w:rPr>
            </w:pPr>
            <w:r>
              <w:rPr>
                <w:rFonts w:hint="eastAsia" w:ascii="仿宋" w:hAnsi="仿宋" w:eastAsia="仿宋"/>
                <w:color w:val="auto"/>
                <w:sz w:val="28"/>
                <w:szCs w:val="28"/>
                <w:lang w:val="en-US" w:eastAsia="zh-CN"/>
              </w:rPr>
              <w:t>2</w:t>
            </w:r>
            <w:r>
              <w:rPr>
                <w:rFonts w:hint="eastAsia" w:ascii="仿宋" w:hAnsi="仿宋" w:eastAsia="仿宋"/>
                <w:color w:val="auto"/>
                <w:sz w:val="28"/>
                <w:szCs w:val="28"/>
              </w:rPr>
              <w:t>项</w:t>
            </w:r>
          </w:p>
        </w:tc>
      </w:tr>
    </w:tbl>
    <w:p>
      <w:pPr>
        <w:spacing w:before="163" w:beforeLines="50"/>
        <w:ind w:firstLine="560" w:firstLineChars="200"/>
        <w:rPr>
          <w:rFonts w:ascii="黑体" w:hAnsi="黑体" w:eastAsia="黑体" w:cs="仿宋_GB2312"/>
          <w:color w:val="auto"/>
          <w:sz w:val="28"/>
          <w:szCs w:val="28"/>
        </w:rPr>
      </w:pPr>
      <w:r>
        <w:rPr>
          <w:rFonts w:hint="eastAsia" w:ascii="黑体" w:hAnsi="黑体" w:eastAsia="黑体" w:cs="仿宋_GB2312"/>
          <w:color w:val="auto"/>
          <w:sz w:val="28"/>
          <w:szCs w:val="28"/>
        </w:rPr>
        <w:t>（二）开放运行和示范辐射情况</w:t>
      </w:r>
    </w:p>
    <w:p>
      <w:pPr>
        <w:spacing w:before="163" w:beforeLines="50" w:after="163" w:afterLines="50"/>
        <w:ind w:firstLine="480" w:firstLineChars="200"/>
        <w:rPr>
          <w:rFonts w:ascii="黑体" w:hAnsi="黑体" w:eastAsia="黑体" w:cs="仿宋_GB2312"/>
          <w:color w:val="auto"/>
        </w:rPr>
      </w:pPr>
      <w:r>
        <w:rPr>
          <w:rFonts w:hint="eastAsia" w:ascii="黑体" w:hAnsi="黑体" w:eastAsia="黑体" w:cs="仿宋_GB2312"/>
          <w:color w:val="auto"/>
        </w:rPr>
        <w:t>1.参加示范中心联席会活动情况</w:t>
      </w:r>
    </w:p>
    <w:tbl>
      <w:tblPr>
        <w:tblStyle w:val="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783"/>
        <w:gridCol w:w="37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jc w:val="center"/>
              <w:rPr>
                <w:rFonts w:ascii="黑体" w:hAnsi="黑体" w:eastAsia="黑体" w:cs="仿宋_GB2312"/>
                <w:color w:val="auto"/>
              </w:rPr>
            </w:pPr>
            <w:r>
              <w:rPr>
                <w:rFonts w:hint="eastAsia" w:ascii="黑体" w:hAnsi="黑体" w:eastAsia="黑体" w:cs="仿宋_GB2312"/>
                <w:color w:val="auto"/>
              </w:rPr>
              <w:t>所在示范中心联席会学科组名称</w:t>
            </w:r>
          </w:p>
        </w:tc>
        <w:tc>
          <w:tcPr>
            <w:tcW w:w="2192" w:type="pct"/>
          </w:tcPr>
          <w:p>
            <w:pPr>
              <w:adjustRightInd w:val="0"/>
              <w:snapToGrid w:val="0"/>
              <w:jc w:val="center"/>
              <w:rPr>
                <w:rFonts w:ascii="仿宋" w:hAnsi="仿宋" w:eastAsia="仿宋" w:cs="仿宋_GB2312"/>
                <w:color w:val="auto"/>
                <w:sz w:val="28"/>
                <w:szCs w:val="28"/>
              </w:rPr>
            </w:pPr>
            <w:r>
              <w:rPr>
                <w:rFonts w:hint="eastAsia" w:ascii="宋体" w:hAnsi="宋体" w:eastAsia="宋体" w:cs="宋体"/>
                <w:color w:val="333333"/>
                <w:sz w:val="21"/>
                <w:szCs w:val="21"/>
                <w:shd w:val="clear" w:color="auto" w:fill="FFFFFF"/>
              </w:rPr>
              <w:t>植物/</w:t>
            </w:r>
            <w:r>
              <w:rPr>
                <w:rFonts w:hint="eastAsia" w:ascii="宋体" w:hAnsi="宋体" w:eastAsia="宋体" w:cs="宋体"/>
                <w:color w:val="333333"/>
                <w:sz w:val="21"/>
                <w:szCs w:val="21"/>
                <w:shd w:val="clear" w:color="auto" w:fill="FFFFFF"/>
                <w:lang w:eastAsia="zh-CN"/>
              </w:rPr>
              <w:t>动物</w:t>
            </w:r>
            <w:r>
              <w:rPr>
                <w:rFonts w:hint="eastAsia" w:ascii="宋体" w:hAnsi="宋体" w:eastAsia="宋体" w:cs="宋体"/>
                <w:color w:val="333333"/>
                <w:sz w:val="21"/>
                <w:szCs w:val="21"/>
                <w:shd w:val="clear" w:color="auto" w:fill="FFFFFF"/>
              </w:rPr>
              <w:t>/</w:t>
            </w:r>
            <w:r>
              <w:rPr>
                <w:rFonts w:hint="eastAsia" w:ascii="宋体" w:hAnsi="宋体" w:eastAsia="宋体" w:cs="宋体"/>
                <w:color w:val="333333"/>
                <w:sz w:val="21"/>
                <w:szCs w:val="21"/>
                <w:shd w:val="clear" w:color="auto" w:fill="FFFFFF"/>
                <w:lang w:eastAsia="zh-CN"/>
              </w:rPr>
              <w:t>农林</w:t>
            </w:r>
            <w:r>
              <w:rPr>
                <w:rFonts w:hint="eastAsia" w:ascii="宋体" w:hAnsi="宋体" w:eastAsia="宋体" w:cs="宋体"/>
                <w:color w:val="333333"/>
                <w:sz w:val="21"/>
                <w:szCs w:val="21"/>
                <w:shd w:val="clear" w:color="auto" w:fill="FFFFFF"/>
              </w:rPr>
              <w:t>/水产组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ind w:firstLine="480" w:firstLineChars="200"/>
              <w:jc w:val="center"/>
              <w:rPr>
                <w:rFonts w:ascii="黑体" w:hAnsi="黑体" w:eastAsia="黑体" w:cs="仿宋_GB2312"/>
                <w:color w:val="auto"/>
              </w:rPr>
            </w:pPr>
            <w:r>
              <w:rPr>
                <w:rFonts w:hint="eastAsia" w:ascii="黑体" w:hAnsi="黑体" w:eastAsia="黑体" w:cs="仿宋_GB2312"/>
                <w:color w:val="auto"/>
              </w:rPr>
              <w:t>参加活动的人次数</w:t>
            </w:r>
          </w:p>
        </w:tc>
        <w:tc>
          <w:tcPr>
            <w:tcW w:w="2192" w:type="pct"/>
          </w:tcPr>
          <w:p>
            <w:pPr>
              <w:adjustRightInd w:val="0"/>
              <w:snapToGrid w:val="0"/>
              <w:jc w:val="center"/>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4人次</w:t>
            </w:r>
          </w:p>
        </w:tc>
      </w:tr>
    </w:tbl>
    <w:p>
      <w:pPr>
        <w:spacing w:before="163" w:beforeLines="50" w:after="163" w:afterLines="50"/>
        <w:ind w:firstLine="480" w:firstLineChars="200"/>
        <w:rPr>
          <w:rFonts w:ascii="黑体" w:hAnsi="黑体" w:eastAsia="黑体"/>
          <w:color w:val="auto"/>
        </w:rPr>
      </w:pPr>
      <w:r>
        <w:rPr>
          <w:rFonts w:hint="eastAsia" w:ascii="黑体" w:hAnsi="黑体" w:eastAsia="黑体" w:cs="仿宋_GB2312"/>
          <w:color w:val="auto"/>
        </w:rPr>
        <w:t>2.承办大型会议情况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08"/>
        <w:gridCol w:w="1500"/>
        <w:gridCol w:w="1856"/>
        <w:gridCol w:w="977"/>
        <w:gridCol w:w="1312"/>
        <w:gridCol w:w="1476"/>
        <w:gridCol w:w="7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57" w:type="pct"/>
            <w:vAlign w:val="center"/>
          </w:tcPr>
          <w:p>
            <w:pPr>
              <w:jc w:val="center"/>
              <w:rPr>
                <w:rFonts w:ascii="黑体" w:hAnsi="黑体" w:eastAsia="黑体"/>
                <w:color w:val="auto"/>
              </w:rPr>
            </w:pPr>
            <w:r>
              <w:rPr>
                <w:rFonts w:hint="eastAsia" w:ascii="黑体" w:hAnsi="黑体" w:eastAsia="黑体" w:cs="宋体"/>
                <w:color w:val="auto"/>
              </w:rPr>
              <w:t>序号</w:t>
            </w:r>
          </w:p>
        </w:tc>
        <w:tc>
          <w:tcPr>
            <w:tcW w:w="880" w:type="pct"/>
            <w:vAlign w:val="center"/>
          </w:tcPr>
          <w:p>
            <w:pPr>
              <w:jc w:val="center"/>
              <w:rPr>
                <w:rFonts w:ascii="黑体" w:hAnsi="黑体" w:eastAsia="黑体"/>
                <w:color w:val="auto"/>
              </w:rPr>
            </w:pPr>
            <w:r>
              <w:rPr>
                <w:rFonts w:hint="eastAsia" w:ascii="黑体" w:hAnsi="黑体" w:eastAsia="黑体" w:cs="宋体"/>
                <w:color w:val="auto"/>
              </w:rPr>
              <w:t>会议名称</w:t>
            </w:r>
          </w:p>
        </w:tc>
        <w:tc>
          <w:tcPr>
            <w:tcW w:w="1089" w:type="pct"/>
            <w:vAlign w:val="center"/>
          </w:tcPr>
          <w:p>
            <w:pPr>
              <w:jc w:val="center"/>
              <w:rPr>
                <w:rFonts w:ascii="黑体" w:hAnsi="黑体" w:eastAsia="黑体"/>
                <w:color w:val="auto"/>
              </w:rPr>
            </w:pPr>
            <w:r>
              <w:rPr>
                <w:rFonts w:hint="eastAsia" w:ascii="黑体" w:hAnsi="黑体" w:eastAsia="黑体" w:cs="宋体"/>
                <w:color w:val="auto"/>
              </w:rPr>
              <w:t>主办单位名称</w:t>
            </w:r>
          </w:p>
        </w:tc>
        <w:tc>
          <w:tcPr>
            <w:tcW w:w="573" w:type="pct"/>
            <w:vAlign w:val="center"/>
          </w:tcPr>
          <w:p>
            <w:pPr>
              <w:jc w:val="center"/>
              <w:rPr>
                <w:rFonts w:hint="eastAsia" w:ascii="黑体" w:hAnsi="黑体" w:eastAsia="黑体" w:cs="宋体"/>
                <w:color w:val="auto"/>
              </w:rPr>
            </w:pPr>
            <w:r>
              <w:rPr>
                <w:rFonts w:hint="eastAsia" w:ascii="黑体" w:hAnsi="黑体" w:eastAsia="黑体" w:cs="宋体"/>
                <w:color w:val="auto"/>
              </w:rPr>
              <w:t>会议</w:t>
            </w:r>
          </w:p>
          <w:p>
            <w:pPr>
              <w:jc w:val="center"/>
              <w:rPr>
                <w:rFonts w:ascii="黑体" w:hAnsi="黑体" w:eastAsia="黑体"/>
                <w:color w:val="auto"/>
              </w:rPr>
            </w:pPr>
            <w:r>
              <w:rPr>
                <w:rFonts w:hint="eastAsia" w:ascii="黑体" w:hAnsi="黑体" w:eastAsia="黑体" w:cs="宋体"/>
                <w:color w:val="auto"/>
              </w:rPr>
              <w:t>主席</w:t>
            </w:r>
          </w:p>
        </w:tc>
        <w:tc>
          <w:tcPr>
            <w:tcW w:w="770" w:type="pct"/>
            <w:vAlign w:val="center"/>
          </w:tcPr>
          <w:p>
            <w:pPr>
              <w:jc w:val="center"/>
              <w:rPr>
                <w:rFonts w:hint="eastAsia" w:ascii="黑体" w:hAnsi="黑体" w:eastAsia="黑体"/>
                <w:color w:val="auto"/>
              </w:rPr>
            </w:pPr>
            <w:r>
              <w:rPr>
                <w:rFonts w:hint="eastAsia" w:ascii="黑体" w:hAnsi="黑体" w:eastAsia="黑体"/>
                <w:color w:val="auto"/>
              </w:rPr>
              <w:t>参加</w:t>
            </w:r>
          </w:p>
          <w:p>
            <w:pPr>
              <w:jc w:val="center"/>
              <w:rPr>
                <w:rFonts w:ascii="黑体" w:hAnsi="黑体" w:eastAsia="黑体"/>
                <w:color w:val="auto"/>
              </w:rPr>
            </w:pPr>
            <w:r>
              <w:rPr>
                <w:rFonts w:hint="eastAsia" w:ascii="黑体" w:hAnsi="黑体" w:eastAsia="黑体"/>
                <w:color w:val="auto"/>
              </w:rPr>
              <w:t>人数</w:t>
            </w:r>
          </w:p>
        </w:tc>
        <w:tc>
          <w:tcPr>
            <w:tcW w:w="866" w:type="pct"/>
            <w:vAlign w:val="center"/>
          </w:tcPr>
          <w:p>
            <w:pPr>
              <w:jc w:val="center"/>
              <w:rPr>
                <w:rFonts w:ascii="黑体" w:hAnsi="黑体" w:eastAsia="黑体"/>
                <w:color w:val="auto"/>
              </w:rPr>
            </w:pPr>
            <w:r>
              <w:rPr>
                <w:rFonts w:hint="eastAsia" w:ascii="黑体" w:hAnsi="黑体" w:eastAsia="黑体" w:cs="宋体"/>
                <w:color w:val="auto"/>
              </w:rPr>
              <w:t>时间</w:t>
            </w:r>
          </w:p>
        </w:tc>
        <w:tc>
          <w:tcPr>
            <w:tcW w:w="462" w:type="pct"/>
            <w:vAlign w:val="center"/>
          </w:tcPr>
          <w:p>
            <w:pPr>
              <w:jc w:val="center"/>
              <w:rPr>
                <w:rFonts w:ascii="黑体" w:hAnsi="黑体" w:eastAsia="黑体"/>
                <w:color w:val="auto"/>
              </w:rPr>
            </w:pPr>
            <w:r>
              <w:rPr>
                <w:rFonts w:hint="eastAsia" w:ascii="黑体" w:hAnsi="黑体" w:eastAsia="黑体" w:cs="宋体"/>
                <w:color w:val="auto"/>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57" w:type="pct"/>
            <w:vAlign w:val="center"/>
          </w:tcPr>
          <w:p>
            <w:pPr>
              <w:adjustRightInd w:val="0"/>
              <w:snapToGrid w:val="0"/>
              <w:jc w:val="center"/>
              <w:rPr>
                <w:rFonts w:ascii="楷体" w:hAnsi="楷体" w:eastAsia="楷体"/>
                <w:color w:val="auto"/>
              </w:rPr>
            </w:pPr>
            <w:r>
              <w:rPr>
                <w:rFonts w:hint="eastAsia" w:ascii="楷体" w:hAnsi="楷体" w:eastAsia="楷体"/>
                <w:color w:val="auto"/>
              </w:rPr>
              <w:t>1</w:t>
            </w:r>
          </w:p>
        </w:tc>
        <w:tc>
          <w:tcPr>
            <w:tcW w:w="880" w:type="pct"/>
            <w:vAlign w:val="center"/>
          </w:tcPr>
          <w:p>
            <w:pPr>
              <w:adjustRightInd w:val="0"/>
              <w:snapToGrid w:val="0"/>
              <w:jc w:val="center"/>
              <w:rPr>
                <w:rFonts w:ascii="仿宋" w:hAnsi="仿宋" w:eastAsia="仿宋"/>
                <w:color w:val="auto"/>
                <w:sz w:val="28"/>
                <w:szCs w:val="28"/>
              </w:rPr>
            </w:pPr>
            <w:r>
              <w:rPr>
                <w:rFonts w:hint="eastAsia" w:ascii="仿宋" w:hAnsi="仿宋" w:eastAsia="仿宋" w:cs="仿宋"/>
                <w:sz w:val="21"/>
                <w:szCs w:val="21"/>
                <w:lang w:eastAsia="zh-CN"/>
              </w:rPr>
              <w:t>第十七届全国玉米栽培技术研讨会</w:t>
            </w:r>
          </w:p>
        </w:tc>
        <w:tc>
          <w:tcPr>
            <w:tcW w:w="1089" w:type="pct"/>
            <w:vAlign w:val="center"/>
          </w:tcPr>
          <w:p>
            <w:pPr>
              <w:adjustRightInd w:val="0"/>
              <w:snapToGrid w:val="0"/>
              <w:jc w:val="center"/>
              <w:rPr>
                <w:rFonts w:ascii="仿宋" w:hAnsi="仿宋" w:eastAsia="仿宋"/>
                <w:color w:val="auto"/>
                <w:sz w:val="28"/>
                <w:szCs w:val="28"/>
              </w:rPr>
            </w:pPr>
            <w:r>
              <w:rPr>
                <w:rFonts w:hint="eastAsia" w:ascii="仿宋" w:hAnsi="仿宋" w:eastAsia="仿宋" w:cs="仿宋"/>
                <w:sz w:val="21"/>
                <w:szCs w:val="21"/>
                <w:lang w:val="en-US" w:eastAsia="zh-CN"/>
              </w:rPr>
              <w:t>中国作物学会栽培专业委员会，中国作物学会玉米专业委员会，中国农业科学院作物科学研究所联合主办</w:t>
            </w:r>
          </w:p>
        </w:tc>
        <w:tc>
          <w:tcPr>
            <w:tcW w:w="573"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李少昆</w:t>
            </w:r>
          </w:p>
        </w:tc>
        <w:tc>
          <w:tcPr>
            <w:tcW w:w="77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280人线下</w:t>
            </w:r>
          </w:p>
          <w:p>
            <w:pPr>
              <w:adjustRightInd w:val="0"/>
              <w:snapToGrid w:val="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1.78万人次线上</w:t>
            </w:r>
          </w:p>
        </w:tc>
        <w:tc>
          <w:tcPr>
            <w:tcW w:w="866" w:type="pct"/>
            <w:vAlign w:val="center"/>
          </w:tcPr>
          <w:p>
            <w:pPr>
              <w:adjustRightInd w:val="0"/>
              <w:snapToGrid w:val="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2022.8.12-16</w:t>
            </w:r>
          </w:p>
        </w:tc>
        <w:tc>
          <w:tcPr>
            <w:tcW w:w="462"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57" w:type="pct"/>
            <w:vAlign w:val="center"/>
          </w:tcPr>
          <w:p>
            <w:pPr>
              <w:adjustRightInd w:val="0"/>
              <w:snapToGrid w:val="0"/>
              <w:jc w:val="center"/>
              <w:rPr>
                <w:rFonts w:hint="eastAsia" w:ascii="楷体" w:hAnsi="楷体" w:eastAsia="楷体"/>
                <w:color w:val="auto"/>
                <w:lang w:val="en-US" w:eastAsia="zh-CN"/>
              </w:rPr>
            </w:pPr>
            <w:r>
              <w:rPr>
                <w:rFonts w:hint="eastAsia" w:ascii="楷体" w:hAnsi="楷体" w:eastAsia="楷体"/>
                <w:color w:val="auto"/>
                <w:lang w:val="en-US" w:eastAsia="zh-CN"/>
              </w:rPr>
              <w:t>2</w:t>
            </w:r>
          </w:p>
        </w:tc>
        <w:tc>
          <w:tcPr>
            <w:tcW w:w="880" w:type="pct"/>
            <w:vAlign w:val="center"/>
          </w:tcPr>
          <w:p>
            <w:pPr>
              <w:adjustRightInd w:val="0"/>
              <w:snapToGrid w:val="0"/>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农作物气传流行性病害及智能监测预警技术学术研讨会</w:t>
            </w:r>
          </w:p>
        </w:tc>
        <w:tc>
          <w:tcPr>
            <w:tcW w:w="1089"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黑龙江省植物保护学会、黑龙江八一农垦大学联合主办</w:t>
            </w:r>
          </w:p>
        </w:tc>
        <w:tc>
          <w:tcPr>
            <w:tcW w:w="573"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宋显东</w:t>
            </w:r>
          </w:p>
        </w:tc>
        <w:tc>
          <w:tcPr>
            <w:tcW w:w="770" w:type="pct"/>
            <w:vAlign w:val="center"/>
          </w:tcPr>
          <w:p>
            <w:pPr>
              <w:adjustRightInd w:val="0"/>
              <w:snapToGrid w:val="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125人</w:t>
            </w:r>
          </w:p>
        </w:tc>
        <w:tc>
          <w:tcPr>
            <w:tcW w:w="866" w:type="pct"/>
            <w:vAlign w:val="center"/>
          </w:tcPr>
          <w:p>
            <w:pPr>
              <w:adjustRightInd w:val="0"/>
              <w:snapToGrid w:val="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2022.11.30</w:t>
            </w:r>
          </w:p>
        </w:tc>
        <w:tc>
          <w:tcPr>
            <w:tcW w:w="462"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区域性</w:t>
            </w:r>
          </w:p>
        </w:tc>
      </w:tr>
    </w:tbl>
    <w:p>
      <w:pPr>
        <w:spacing w:before="163" w:beforeLines="50"/>
        <w:ind w:firstLine="480" w:firstLineChars="200"/>
        <w:rPr>
          <w:rFonts w:ascii="楷体" w:hAnsi="楷体" w:eastAsia="楷体"/>
          <w:color w:val="auto"/>
        </w:rPr>
      </w:pPr>
      <w:r>
        <w:rPr>
          <w:rFonts w:hint="eastAsia" w:ascii="楷体" w:hAnsi="楷体" w:eastAsia="楷体"/>
          <w:bCs/>
          <w:color w:val="auto"/>
        </w:rPr>
        <w:t>注</w:t>
      </w:r>
      <w:r>
        <w:rPr>
          <w:rFonts w:hint="eastAsia" w:ascii="楷体" w:hAnsi="楷体" w:eastAsia="楷体"/>
          <w:color w:val="auto"/>
        </w:rPr>
        <w:t>：主办或协办由主管部门、一级学会或示范中心联席会批准的会议。</w:t>
      </w:r>
      <w:r>
        <w:rPr>
          <w:rFonts w:hint="eastAsia" w:ascii="楷体" w:hAnsi="楷体" w:eastAsia="楷体" w:cs="仿宋_GB2312"/>
          <w:color w:val="auto"/>
        </w:rPr>
        <w:t>请按全球性、</w:t>
      </w:r>
      <w:r>
        <w:rPr>
          <w:rFonts w:hint="eastAsia" w:ascii="楷体" w:hAnsi="楷体" w:eastAsia="楷体"/>
          <w:color w:val="auto"/>
        </w:rPr>
        <w:t>区域性</w:t>
      </w:r>
      <w:r>
        <w:rPr>
          <w:rFonts w:hint="eastAsia" w:ascii="楷体" w:hAnsi="楷体" w:eastAsia="楷体" w:cs="仿宋_GB2312"/>
          <w:color w:val="auto"/>
        </w:rPr>
        <w:t>、双边性、全国性等排序，并在类型栏中标明。</w:t>
      </w:r>
    </w:p>
    <w:p>
      <w:pPr>
        <w:spacing w:before="50" w:after="163" w:afterLines="50"/>
        <w:ind w:firstLine="470" w:firstLineChars="196"/>
        <w:rPr>
          <w:rFonts w:ascii="黑体" w:hAnsi="黑体" w:eastAsia="黑体" w:cs="仿宋_GB2312"/>
          <w:color w:val="auto"/>
        </w:rPr>
      </w:pPr>
      <w:r>
        <w:rPr>
          <w:rFonts w:hint="eastAsia" w:ascii="黑体" w:hAnsi="黑体" w:eastAsia="黑体" w:cs="仿宋_GB2312"/>
          <w:color w:val="auto"/>
        </w:rPr>
        <w:t>3.参加大型会议情况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5"/>
        <w:gridCol w:w="1946"/>
        <w:gridCol w:w="938"/>
        <w:gridCol w:w="2131"/>
        <w:gridCol w:w="1026"/>
        <w:gridCol w:w="20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267" w:type="pct"/>
            <w:vAlign w:val="center"/>
          </w:tcPr>
          <w:p>
            <w:pPr>
              <w:jc w:val="center"/>
              <w:rPr>
                <w:rFonts w:ascii="黑体" w:hAnsi="黑体" w:eastAsia="黑体"/>
                <w:color w:val="auto"/>
              </w:rPr>
            </w:pPr>
            <w:r>
              <w:rPr>
                <w:rFonts w:hint="eastAsia" w:ascii="黑体" w:hAnsi="黑体" w:eastAsia="黑体" w:cs="宋体"/>
                <w:color w:val="auto"/>
              </w:rPr>
              <w:t>序号</w:t>
            </w:r>
          </w:p>
        </w:tc>
        <w:tc>
          <w:tcPr>
            <w:tcW w:w="1142" w:type="pct"/>
            <w:vAlign w:val="center"/>
          </w:tcPr>
          <w:p>
            <w:pPr>
              <w:jc w:val="center"/>
              <w:rPr>
                <w:rFonts w:ascii="黑体" w:hAnsi="黑体" w:eastAsia="黑体"/>
                <w:color w:val="auto"/>
              </w:rPr>
            </w:pPr>
            <w:r>
              <w:rPr>
                <w:rFonts w:hint="eastAsia" w:ascii="黑体" w:hAnsi="黑体" w:eastAsia="黑体" w:cs="宋体"/>
                <w:color w:val="auto"/>
              </w:rPr>
              <w:t>大会报告名称</w:t>
            </w:r>
          </w:p>
        </w:tc>
        <w:tc>
          <w:tcPr>
            <w:tcW w:w="550" w:type="pct"/>
            <w:vAlign w:val="center"/>
          </w:tcPr>
          <w:p>
            <w:pPr>
              <w:jc w:val="center"/>
              <w:rPr>
                <w:rFonts w:ascii="黑体" w:hAnsi="黑体" w:eastAsia="黑体"/>
                <w:color w:val="auto"/>
              </w:rPr>
            </w:pPr>
            <w:r>
              <w:rPr>
                <w:rFonts w:hint="eastAsia" w:ascii="黑体" w:hAnsi="黑体" w:eastAsia="黑体" w:cs="宋体"/>
                <w:color w:val="auto"/>
              </w:rPr>
              <w:t>报告人</w:t>
            </w:r>
          </w:p>
        </w:tc>
        <w:tc>
          <w:tcPr>
            <w:tcW w:w="1251" w:type="pct"/>
            <w:vAlign w:val="center"/>
          </w:tcPr>
          <w:p>
            <w:pPr>
              <w:jc w:val="center"/>
              <w:rPr>
                <w:rFonts w:ascii="黑体" w:hAnsi="黑体" w:eastAsia="黑体"/>
                <w:color w:val="auto"/>
              </w:rPr>
            </w:pPr>
            <w:r>
              <w:rPr>
                <w:rFonts w:hint="eastAsia" w:ascii="黑体" w:hAnsi="黑体" w:eastAsia="黑体" w:cs="宋体"/>
                <w:color w:val="auto"/>
              </w:rPr>
              <w:t>会议名称</w:t>
            </w:r>
          </w:p>
        </w:tc>
        <w:tc>
          <w:tcPr>
            <w:tcW w:w="602" w:type="pct"/>
            <w:vAlign w:val="center"/>
          </w:tcPr>
          <w:p>
            <w:pPr>
              <w:jc w:val="center"/>
              <w:rPr>
                <w:rFonts w:ascii="黑体" w:hAnsi="黑体" w:eastAsia="黑体"/>
                <w:color w:val="auto"/>
              </w:rPr>
            </w:pPr>
            <w:r>
              <w:rPr>
                <w:rFonts w:hint="eastAsia" w:ascii="黑体" w:hAnsi="黑体" w:eastAsia="黑体" w:cs="宋体"/>
                <w:color w:val="auto"/>
              </w:rPr>
              <w:t>时间</w:t>
            </w:r>
          </w:p>
        </w:tc>
        <w:tc>
          <w:tcPr>
            <w:tcW w:w="1186" w:type="pct"/>
            <w:vAlign w:val="center"/>
          </w:tcPr>
          <w:p>
            <w:pPr>
              <w:jc w:val="center"/>
              <w:rPr>
                <w:rFonts w:ascii="黑体" w:hAnsi="黑体" w:eastAsia="黑体"/>
                <w:color w:val="auto"/>
              </w:rPr>
            </w:pPr>
            <w:r>
              <w:rPr>
                <w:rFonts w:hint="eastAsia" w:ascii="黑体" w:hAnsi="黑体" w:eastAsia="黑体" w:cs="宋体"/>
                <w:color w:val="auto"/>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1</w:t>
            </w:r>
          </w:p>
        </w:tc>
        <w:tc>
          <w:tcPr>
            <w:tcW w:w="1142"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稻瘟病发生流行的影响因素分析及预测模型构建</w:t>
            </w:r>
          </w:p>
        </w:tc>
        <w:tc>
          <w:tcPr>
            <w:tcW w:w="550"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左豫虎</w:t>
            </w:r>
          </w:p>
        </w:tc>
        <w:tc>
          <w:tcPr>
            <w:tcW w:w="1251"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作物主要病害监测预警学术研讨会</w:t>
            </w:r>
          </w:p>
        </w:tc>
        <w:tc>
          <w:tcPr>
            <w:tcW w:w="602" w:type="pct"/>
            <w:vAlign w:val="center"/>
          </w:tcPr>
          <w:p>
            <w:pPr>
              <w:adjustRightInd w:val="0"/>
              <w:snapToGrid w:val="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2022.08.03-04</w:t>
            </w:r>
          </w:p>
        </w:tc>
        <w:tc>
          <w:tcPr>
            <w:tcW w:w="1186"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eastAsia="zh-CN"/>
              </w:rPr>
              <w:t>陕西杨凌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中国马铃薯全粉加工型品种登记现状分析</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金光辉</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马铃薯种业创新与数字赋能产业发展学术研讨会暨现场观摩会</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2022.07.26</w:t>
            </w:r>
          </w:p>
        </w:tc>
        <w:tc>
          <w:tcPr>
            <w:tcW w:w="0" w:type="auto"/>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eastAsia="zh-CN"/>
              </w:rPr>
              <w:t>黑龙江齐齐哈尔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大豆高产栽培技术</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张玉先</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大豆产能提升工程专题讲座</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2022.03.10</w:t>
            </w:r>
          </w:p>
        </w:tc>
        <w:tc>
          <w:tcPr>
            <w:tcW w:w="0" w:type="auto"/>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eastAsia="zh-CN"/>
              </w:rPr>
              <w:t>北京</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0" w:type="auto"/>
            <w:vAlign w:val="center"/>
          </w:tcPr>
          <w:p>
            <w:pPr>
              <w:adjustRightInd w:val="0"/>
              <w:snapToGrid w:val="0"/>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《植物学实验》课程建设与实践</w:t>
            </w:r>
          </w:p>
        </w:tc>
        <w:tc>
          <w:tcPr>
            <w:tcW w:w="0" w:type="auto"/>
            <w:vAlign w:val="center"/>
          </w:tcPr>
          <w:p>
            <w:pPr>
              <w:adjustRightInd w:val="0"/>
              <w:snapToGrid w:val="0"/>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贺林</w:t>
            </w:r>
          </w:p>
        </w:tc>
        <w:tc>
          <w:tcPr>
            <w:tcW w:w="0" w:type="auto"/>
            <w:vAlign w:val="center"/>
          </w:tcPr>
          <w:p>
            <w:pPr>
              <w:adjustRightInd w:val="0"/>
              <w:snapToGrid w:val="0"/>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全国生物学基础实验课程虚拟教研室“星空启航”课程建设交流会</w:t>
            </w:r>
          </w:p>
        </w:tc>
        <w:tc>
          <w:tcPr>
            <w:tcW w:w="0" w:type="auto"/>
            <w:vAlign w:val="center"/>
          </w:tcPr>
          <w:p>
            <w:pPr>
              <w:adjustRightInd w:val="0"/>
              <w:snapToGrid w:val="0"/>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2022.</w:t>
            </w:r>
            <w:r>
              <w:rPr>
                <w:rFonts w:hint="eastAsia" w:ascii="仿宋" w:hAnsi="仿宋" w:eastAsia="仿宋" w:cs="仿宋"/>
                <w:sz w:val="21"/>
                <w:szCs w:val="21"/>
                <w:lang w:eastAsia="zh-CN"/>
              </w:rPr>
              <w:t>11</w:t>
            </w:r>
            <w:r>
              <w:rPr>
                <w:rFonts w:hint="eastAsia" w:ascii="仿宋" w:hAnsi="仿宋" w:eastAsia="仿宋" w:cs="仿宋"/>
                <w:sz w:val="21"/>
                <w:szCs w:val="21"/>
                <w:lang w:val="en-US" w:eastAsia="zh-CN"/>
              </w:rPr>
              <w:t>.</w:t>
            </w:r>
            <w:r>
              <w:rPr>
                <w:rFonts w:hint="eastAsia" w:ascii="仿宋" w:hAnsi="仿宋" w:eastAsia="仿宋" w:cs="仿宋"/>
                <w:sz w:val="21"/>
                <w:szCs w:val="21"/>
                <w:lang w:eastAsia="zh-CN"/>
              </w:rPr>
              <w:t>26</w:t>
            </w:r>
          </w:p>
        </w:tc>
        <w:tc>
          <w:tcPr>
            <w:tcW w:w="0" w:type="auto"/>
            <w:vAlign w:val="center"/>
          </w:tcPr>
          <w:p>
            <w:pPr>
              <w:adjustRightInd w:val="0"/>
              <w:snapToGrid w:val="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eastAsia="zh-CN"/>
              </w:rPr>
              <w:t>线上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miR1320-ERF096分子模块调控水稻耐冷性的分子机制</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孙明哲</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东北农业大学金陵讲坛</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2022.0505</w:t>
            </w:r>
          </w:p>
        </w:tc>
        <w:tc>
          <w:tcPr>
            <w:tcW w:w="0" w:type="auto"/>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eastAsia="zh-CN"/>
              </w:rPr>
              <w:t>线上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大豆高产栽培技术实践与思考</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张玉先</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黑龙江省作物学会</w:t>
            </w:r>
            <w:r>
              <w:rPr>
                <w:rFonts w:hint="eastAsia" w:ascii="仿宋" w:hAnsi="仿宋" w:eastAsia="仿宋" w:cs="仿宋"/>
                <w:sz w:val="21"/>
                <w:szCs w:val="21"/>
                <w:lang w:val="en-US" w:eastAsia="zh-CN"/>
              </w:rPr>
              <w:t>2022年度学术会议</w:t>
            </w:r>
          </w:p>
        </w:tc>
        <w:tc>
          <w:tcPr>
            <w:tcW w:w="0" w:type="auto"/>
            <w:vAlign w:val="center"/>
          </w:tcPr>
          <w:p>
            <w:pPr>
              <w:adjustRightInd w:val="0"/>
              <w:snapToGrid w:val="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2022.12.14</w:t>
            </w:r>
          </w:p>
        </w:tc>
        <w:tc>
          <w:tcPr>
            <w:tcW w:w="0" w:type="auto"/>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eastAsia="zh-CN"/>
              </w:rPr>
              <w:t>线上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0" w:type="auto"/>
            <w:vAlign w:val="center"/>
          </w:tcPr>
          <w:p>
            <w:pPr>
              <w:adjustRightInd w:val="0"/>
              <w:snapToGrid w:val="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eastAsia="zh-CN"/>
              </w:rPr>
              <w:t>寒地玉米提质增抗全程机械化高效生产技术创新与集成应用</w:t>
            </w:r>
          </w:p>
        </w:tc>
        <w:tc>
          <w:tcPr>
            <w:tcW w:w="0" w:type="auto"/>
            <w:vAlign w:val="center"/>
          </w:tcPr>
          <w:p>
            <w:pPr>
              <w:adjustRightInd w:val="0"/>
              <w:snapToGrid w:val="0"/>
              <w:jc w:val="both"/>
              <w:rPr>
                <w:rFonts w:hint="eastAsia" w:ascii="仿宋" w:hAnsi="仿宋" w:eastAsia="仿宋" w:cs="仿宋"/>
                <w:sz w:val="21"/>
                <w:szCs w:val="21"/>
                <w:lang w:eastAsia="zh-CN"/>
              </w:rPr>
            </w:pPr>
            <w:r>
              <w:rPr>
                <w:rFonts w:hint="eastAsia" w:ascii="仿宋" w:hAnsi="仿宋" w:eastAsia="仿宋" w:cs="仿宋"/>
                <w:sz w:val="21"/>
                <w:szCs w:val="21"/>
                <w:lang w:eastAsia="zh-CN"/>
              </w:rPr>
              <w:t>杨克军</w:t>
            </w:r>
          </w:p>
        </w:tc>
        <w:tc>
          <w:tcPr>
            <w:tcW w:w="0" w:type="auto"/>
            <w:vAlign w:val="center"/>
          </w:tcPr>
          <w:p>
            <w:pPr>
              <w:adjustRightInd w:val="0"/>
              <w:snapToGrid w:val="0"/>
              <w:jc w:val="both"/>
              <w:rPr>
                <w:rFonts w:hint="eastAsia" w:ascii="仿宋" w:hAnsi="仿宋" w:eastAsia="仿宋" w:cs="仿宋"/>
                <w:sz w:val="21"/>
                <w:szCs w:val="21"/>
                <w:lang w:eastAsia="zh-CN"/>
              </w:rPr>
            </w:pPr>
            <w:r>
              <w:rPr>
                <w:rFonts w:hint="eastAsia" w:ascii="仿宋" w:hAnsi="仿宋" w:eastAsia="仿宋" w:cs="仿宋"/>
                <w:sz w:val="21"/>
                <w:szCs w:val="21"/>
                <w:lang w:eastAsia="zh-CN"/>
              </w:rPr>
              <w:t>第十七届全国玉米栽培技术研讨会</w:t>
            </w:r>
          </w:p>
        </w:tc>
        <w:tc>
          <w:tcPr>
            <w:tcW w:w="0" w:type="auto"/>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2023.8.12-16</w:t>
            </w:r>
          </w:p>
        </w:tc>
        <w:tc>
          <w:tcPr>
            <w:tcW w:w="0" w:type="auto"/>
            <w:vAlign w:val="center"/>
          </w:tcPr>
          <w:p>
            <w:pPr>
              <w:adjustRightInd w:val="0"/>
              <w:snapToGrid w:val="0"/>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黑龙江大庆</w:t>
            </w:r>
          </w:p>
        </w:tc>
      </w:tr>
    </w:tbl>
    <w:p>
      <w:pPr>
        <w:spacing w:before="163" w:beforeLines="50"/>
        <w:ind w:firstLine="480" w:firstLineChars="200"/>
        <w:rPr>
          <w:rFonts w:ascii="楷体" w:hAnsi="楷体" w:eastAsia="楷体"/>
          <w:color w:val="auto"/>
        </w:rPr>
      </w:pPr>
      <w:r>
        <w:rPr>
          <w:rFonts w:hint="eastAsia" w:ascii="楷体" w:hAnsi="楷体" w:eastAsia="楷体" w:cs="仿宋_GB2312"/>
          <w:bCs/>
          <w:color w:val="auto"/>
        </w:rPr>
        <w:t>注：大会报告：</w:t>
      </w:r>
      <w:r>
        <w:rPr>
          <w:rFonts w:hint="eastAsia" w:ascii="楷体" w:hAnsi="楷体" w:eastAsia="楷体" w:cs="仿宋_GB2312"/>
          <w:color w:val="auto"/>
        </w:rPr>
        <w:t>指特邀报告。</w:t>
      </w:r>
    </w:p>
    <w:p>
      <w:pPr>
        <w:spacing w:before="50" w:after="163" w:afterLines="50"/>
        <w:ind w:firstLine="480" w:firstLineChars="200"/>
        <w:rPr>
          <w:rFonts w:ascii="黑体" w:hAnsi="黑体" w:eastAsia="黑体" w:cs="仿宋_GB2312"/>
          <w:color w:val="auto"/>
        </w:rPr>
      </w:pPr>
      <w:r>
        <w:rPr>
          <w:rFonts w:hint="eastAsia" w:ascii="黑体" w:hAnsi="黑体" w:eastAsia="黑体" w:cs="仿宋_GB2312"/>
          <w:color w:val="auto"/>
        </w:rPr>
        <w:t>4.承办竞赛情况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5"/>
        <w:gridCol w:w="1770"/>
        <w:gridCol w:w="810"/>
        <w:gridCol w:w="750"/>
        <w:gridCol w:w="1001"/>
        <w:gridCol w:w="903"/>
        <w:gridCol w:w="1568"/>
        <w:gridCol w:w="12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296" w:type="pct"/>
            <w:vAlign w:val="center"/>
          </w:tcPr>
          <w:p>
            <w:pPr>
              <w:ind w:left="-120" w:leftChars="-50" w:right="-120" w:rightChars="-50"/>
              <w:jc w:val="center"/>
              <w:rPr>
                <w:rFonts w:ascii="黑体" w:hAnsi="黑体" w:eastAsia="黑体"/>
                <w:color w:val="auto"/>
              </w:rPr>
            </w:pPr>
            <w:r>
              <w:rPr>
                <w:rFonts w:hint="eastAsia" w:ascii="黑体" w:hAnsi="黑体" w:eastAsia="黑体" w:cs="宋体"/>
                <w:color w:val="auto"/>
              </w:rPr>
              <w:t>序号</w:t>
            </w:r>
          </w:p>
        </w:tc>
        <w:tc>
          <w:tcPr>
            <w:tcW w:w="1039" w:type="pct"/>
            <w:vAlign w:val="center"/>
          </w:tcPr>
          <w:p>
            <w:pPr>
              <w:jc w:val="center"/>
              <w:rPr>
                <w:rFonts w:ascii="黑体" w:hAnsi="黑体" w:eastAsia="黑体"/>
                <w:color w:val="auto"/>
              </w:rPr>
            </w:pPr>
            <w:r>
              <w:rPr>
                <w:rFonts w:hint="eastAsia" w:ascii="黑体" w:hAnsi="黑体" w:eastAsia="黑体" w:cs="宋体"/>
                <w:color w:val="auto"/>
              </w:rPr>
              <w:t>竞赛名称</w:t>
            </w:r>
          </w:p>
        </w:tc>
        <w:tc>
          <w:tcPr>
            <w:tcW w:w="475" w:type="pct"/>
            <w:vAlign w:val="center"/>
          </w:tcPr>
          <w:p>
            <w:pPr>
              <w:jc w:val="center"/>
              <w:rPr>
                <w:rFonts w:ascii="黑体" w:hAnsi="黑体" w:eastAsia="黑体"/>
                <w:color w:val="auto"/>
              </w:rPr>
            </w:pPr>
            <w:r>
              <w:rPr>
                <w:rFonts w:hint="eastAsia" w:ascii="黑体" w:hAnsi="黑体" w:eastAsia="黑体"/>
                <w:color w:val="auto"/>
              </w:rPr>
              <w:t>竞赛级别</w:t>
            </w:r>
          </w:p>
        </w:tc>
        <w:tc>
          <w:tcPr>
            <w:tcW w:w="440" w:type="pct"/>
            <w:vAlign w:val="center"/>
          </w:tcPr>
          <w:p>
            <w:pPr>
              <w:jc w:val="center"/>
              <w:rPr>
                <w:rFonts w:ascii="黑体" w:hAnsi="黑体" w:eastAsia="黑体"/>
                <w:color w:val="auto"/>
              </w:rPr>
            </w:pPr>
            <w:r>
              <w:rPr>
                <w:rFonts w:hint="eastAsia" w:ascii="黑体" w:hAnsi="黑体" w:eastAsia="黑体"/>
                <w:color w:val="auto"/>
              </w:rPr>
              <w:t>参赛人数</w:t>
            </w:r>
          </w:p>
        </w:tc>
        <w:tc>
          <w:tcPr>
            <w:tcW w:w="587" w:type="pct"/>
            <w:vAlign w:val="center"/>
          </w:tcPr>
          <w:p>
            <w:pPr>
              <w:jc w:val="center"/>
              <w:rPr>
                <w:rFonts w:ascii="黑体" w:hAnsi="黑体" w:eastAsia="黑体"/>
                <w:color w:val="auto"/>
              </w:rPr>
            </w:pPr>
            <w:r>
              <w:rPr>
                <w:rFonts w:hint="eastAsia" w:ascii="黑体" w:hAnsi="黑体" w:eastAsia="黑体" w:cs="宋体"/>
                <w:color w:val="auto"/>
              </w:rPr>
              <w:t>负责人</w:t>
            </w:r>
          </w:p>
        </w:tc>
        <w:tc>
          <w:tcPr>
            <w:tcW w:w="530" w:type="pct"/>
            <w:vAlign w:val="center"/>
          </w:tcPr>
          <w:p>
            <w:pPr>
              <w:jc w:val="center"/>
              <w:rPr>
                <w:rFonts w:ascii="黑体" w:hAnsi="黑体" w:eastAsia="黑体"/>
                <w:color w:val="auto"/>
              </w:rPr>
            </w:pPr>
            <w:r>
              <w:rPr>
                <w:rFonts w:hint="eastAsia" w:ascii="黑体" w:hAnsi="黑体" w:eastAsia="黑体" w:cs="宋体"/>
                <w:color w:val="auto"/>
              </w:rPr>
              <w:t>职称</w:t>
            </w:r>
          </w:p>
        </w:tc>
        <w:tc>
          <w:tcPr>
            <w:tcW w:w="920" w:type="pct"/>
            <w:vAlign w:val="center"/>
          </w:tcPr>
          <w:p>
            <w:pPr>
              <w:jc w:val="center"/>
              <w:rPr>
                <w:rFonts w:ascii="黑体" w:hAnsi="黑体" w:eastAsia="黑体"/>
                <w:color w:val="auto"/>
              </w:rPr>
            </w:pPr>
            <w:r>
              <w:rPr>
                <w:rFonts w:hint="eastAsia" w:ascii="黑体" w:hAnsi="黑体" w:eastAsia="黑体" w:cs="宋体"/>
                <w:color w:val="auto"/>
              </w:rPr>
              <w:t>起止时间</w:t>
            </w:r>
          </w:p>
        </w:tc>
        <w:tc>
          <w:tcPr>
            <w:tcW w:w="709" w:type="pct"/>
            <w:vAlign w:val="center"/>
          </w:tcPr>
          <w:p>
            <w:pPr>
              <w:jc w:val="center"/>
              <w:rPr>
                <w:rFonts w:ascii="黑体" w:hAnsi="黑体" w:eastAsia="黑体"/>
                <w:color w:val="auto"/>
              </w:rPr>
            </w:pPr>
            <w:r>
              <w:rPr>
                <w:rFonts w:hint="eastAsia" w:ascii="黑体" w:hAnsi="黑体" w:eastAsia="黑体" w:cs="宋体"/>
                <w:color w:val="auto"/>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6" w:type="pct"/>
            <w:vAlign w:val="center"/>
          </w:tcPr>
          <w:p>
            <w:pPr>
              <w:adjustRightInd w:val="0"/>
              <w:snapToGrid w:val="0"/>
              <w:jc w:val="center"/>
              <w:rPr>
                <w:rFonts w:hint="eastAsia" w:ascii="楷体" w:hAnsi="楷体" w:eastAsia="楷体" w:cs="楷体"/>
                <w:color w:val="auto"/>
                <w:lang w:val="en-US" w:eastAsia="zh-CN"/>
              </w:rPr>
            </w:pPr>
            <w:r>
              <w:rPr>
                <w:rFonts w:hint="eastAsia" w:ascii="楷体" w:hAnsi="楷体" w:eastAsia="楷体" w:cs="楷体"/>
                <w:color w:val="auto"/>
                <w:lang w:val="en-US" w:eastAsia="zh-CN"/>
              </w:rPr>
              <w:t>1</w:t>
            </w:r>
          </w:p>
        </w:tc>
        <w:tc>
          <w:tcPr>
            <w:tcW w:w="1039"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第二届昆虫摄影、绘画及标本制作竞赛</w:t>
            </w:r>
          </w:p>
        </w:tc>
        <w:tc>
          <w:tcPr>
            <w:tcW w:w="475"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校级</w:t>
            </w:r>
          </w:p>
        </w:tc>
        <w:tc>
          <w:tcPr>
            <w:tcW w:w="44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182</w:t>
            </w:r>
          </w:p>
        </w:tc>
        <w:tc>
          <w:tcPr>
            <w:tcW w:w="587"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刘明</w:t>
            </w:r>
          </w:p>
        </w:tc>
        <w:tc>
          <w:tcPr>
            <w:tcW w:w="53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讲师</w:t>
            </w:r>
          </w:p>
        </w:tc>
        <w:tc>
          <w:tcPr>
            <w:tcW w:w="920"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2022.10-2022.11</w:t>
            </w:r>
          </w:p>
        </w:tc>
        <w:tc>
          <w:tcPr>
            <w:tcW w:w="709"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6" w:type="pct"/>
            <w:vAlign w:val="center"/>
          </w:tcPr>
          <w:p>
            <w:pPr>
              <w:adjustRightInd w:val="0"/>
              <w:snapToGrid w:val="0"/>
              <w:jc w:val="center"/>
              <w:rPr>
                <w:rFonts w:hint="eastAsia" w:ascii="楷体" w:hAnsi="楷体" w:eastAsia="楷体" w:cs="楷体"/>
                <w:color w:val="auto"/>
                <w:lang w:val="en-US" w:eastAsia="zh-CN"/>
              </w:rPr>
            </w:pPr>
            <w:r>
              <w:rPr>
                <w:rFonts w:hint="eastAsia" w:ascii="楷体" w:hAnsi="楷体" w:eastAsia="楷体" w:cs="楷体"/>
                <w:color w:val="auto"/>
                <w:lang w:val="en-US" w:eastAsia="zh-CN"/>
              </w:rPr>
              <w:t>2</w:t>
            </w:r>
          </w:p>
        </w:tc>
        <w:tc>
          <w:tcPr>
            <w:tcW w:w="1039"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第二届植物病害短视频、标本制作及病原物绘画竞赛</w:t>
            </w:r>
          </w:p>
        </w:tc>
        <w:tc>
          <w:tcPr>
            <w:tcW w:w="475"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校级</w:t>
            </w:r>
          </w:p>
        </w:tc>
        <w:tc>
          <w:tcPr>
            <w:tcW w:w="44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182</w:t>
            </w:r>
          </w:p>
        </w:tc>
        <w:tc>
          <w:tcPr>
            <w:tcW w:w="587"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刘明</w:t>
            </w:r>
          </w:p>
        </w:tc>
        <w:tc>
          <w:tcPr>
            <w:tcW w:w="53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讲师</w:t>
            </w:r>
          </w:p>
        </w:tc>
        <w:tc>
          <w:tcPr>
            <w:tcW w:w="920"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2022.10-2022.11</w:t>
            </w:r>
          </w:p>
        </w:tc>
        <w:tc>
          <w:tcPr>
            <w:tcW w:w="709"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6" w:type="pct"/>
            <w:vAlign w:val="center"/>
          </w:tcPr>
          <w:p>
            <w:pPr>
              <w:adjustRightInd w:val="0"/>
              <w:snapToGrid w:val="0"/>
              <w:jc w:val="center"/>
              <w:rPr>
                <w:rFonts w:hint="eastAsia" w:ascii="楷体" w:hAnsi="楷体" w:eastAsia="楷体" w:cs="楷体"/>
                <w:color w:val="auto"/>
                <w:lang w:val="en-US" w:eastAsia="zh-CN"/>
              </w:rPr>
            </w:pPr>
            <w:r>
              <w:rPr>
                <w:rFonts w:hint="eastAsia" w:ascii="楷体" w:hAnsi="楷体" w:eastAsia="楷体" w:cs="楷体"/>
                <w:color w:val="auto"/>
                <w:lang w:val="en-US" w:eastAsia="zh-CN"/>
              </w:rPr>
              <w:t>3</w:t>
            </w:r>
          </w:p>
        </w:tc>
        <w:tc>
          <w:tcPr>
            <w:tcW w:w="1039" w:type="pct"/>
            <w:vAlign w:val="bottom"/>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农学院专项实验室安全知识竞赛</w:t>
            </w:r>
          </w:p>
        </w:tc>
        <w:tc>
          <w:tcPr>
            <w:tcW w:w="475"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校级</w:t>
            </w:r>
          </w:p>
        </w:tc>
        <w:tc>
          <w:tcPr>
            <w:tcW w:w="44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77</w:t>
            </w:r>
          </w:p>
        </w:tc>
        <w:tc>
          <w:tcPr>
            <w:tcW w:w="587"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邓杰</w:t>
            </w:r>
          </w:p>
        </w:tc>
        <w:tc>
          <w:tcPr>
            <w:tcW w:w="53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中级实验师</w:t>
            </w:r>
          </w:p>
        </w:tc>
        <w:tc>
          <w:tcPr>
            <w:tcW w:w="920" w:type="pct"/>
            <w:vAlign w:val="center"/>
          </w:tcPr>
          <w:p>
            <w:pPr>
              <w:adjustRightInd w:val="0"/>
              <w:snapToGrid w:val="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2022.03</w:t>
            </w:r>
          </w:p>
        </w:tc>
        <w:tc>
          <w:tcPr>
            <w:tcW w:w="709"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6" w:type="pct"/>
            <w:vAlign w:val="center"/>
          </w:tcPr>
          <w:p>
            <w:pPr>
              <w:adjustRightInd w:val="0"/>
              <w:snapToGrid w:val="0"/>
              <w:jc w:val="center"/>
              <w:rPr>
                <w:rFonts w:hint="eastAsia" w:ascii="楷体" w:hAnsi="楷体" w:eastAsia="楷体" w:cs="楷体"/>
                <w:color w:val="auto"/>
                <w:lang w:val="en-US" w:eastAsia="zh-CN"/>
              </w:rPr>
            </w:pPr>
            <w:r>
              <w:rPr>
                <w:rFonts w:hint="eastAsia" w:ascii="楷体" w:hAnsi="楷体" w:eastAsia="楷体" w:cs="楷体"/>
                <w:color w:val="auto"/>
                <w:lang w:val="en-US" w:eastAsia="zh-CN"/>
              </w:rPr>
              <w:t>4</w:t>
            </w:r>
          </w:p>
        </w:tc>
        <w:tc>
          <w:tcPr>
            <w:tcW w:w="1039" w:type="pct"/>
            <w:vAlign w:val="bottom"/>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第3届农学院实验室安全知识竞赛</w:t>
            </w:r>
          </w:p>
        </w:tc>
        <w:tc>
          <w:tcPr>
            <w:tcW w:w="475"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校级</w:t>
            </w:r>
          </w:p>
        </w:tc>
        <w:tc>
          <w:tcPr>
            <w:tcW w:w="44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510</w:t>
            </w:r>
          </w:p>
        </w:tc>
        <w:tc>
          <w:tcPr>
            <w:tcW w:w="587"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邓杰</w:t>
            </w:r>
          </w:p>
        </w:tc>
        <w:tc>
          <w:tcPr>
            <w:tcW w:w="530" w:type="pct"/>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中级实验师</w:t>
            </w:r>
          </w:p>
        </w:tc>
        <w:tc>
          <w:tcPr>
            <w:tcW w:w="920" w:type="pct"/>
            <w:vAlign w:val="center"/>
          </w:tcPr>
          <w:p>
            <w:pPr>
              <w:adjustRightInd w:val="0"/>
              <w:snapToGrid w:val="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2022.12</w:t>
            </w:r>
          </w:p>
        </w:tc>
        <w:tc>
          <w:tcPr>
            <w:tcW w:w="709" w:type="pct"/>
            <w:vAlign w:val="center"/>
          </w:tcPr>
          <w:p>
            <w:pPr>
              <w:adjustRightInd w:val="0"/>
              <w:snapToGrid w:val="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0.1</w:t>
            </w:r>
          </w:p>
        </w:tc>
      </w:tr>
    </w:tbl>
    <w:p>
      <w:pPr>
        <w:spacing w:before="163" w:beforeLines="50"/>
        <w:ind w:firstLine="480" w:firstLineChars="200"/>
        <w:rPr>
          <w:rFonts w:ascii="楷体" w:hAnsi="楷体" w:eastAsia="楷体"/>
          <w:color w:val="auto"/>
        </w:rPr>
      </w:pPr>
      <w:r>
        <w:rPr>
          <w:rFonts w:hint="eastAsia" w:ascii="楷体" w:hAnsi="楷体" w:eastAsia="楷体"/>
          <w:bCs/>
          <w:color w:val="auto"/>
        </w:rPr>
        <w:t>注：竞赛级别</w:t>
      </w:r>
      <w:r>
        <w:rPr>
          <w:rFonts w:hint="eastAsia" w:ascii="楷体" w:hAnsi="楷体" w:eastAsia="楷体"/>
          <w:color w:val="auto"/>
        </w:rPr>
        <w:t>按国家级、省级、校级设立排序。</w:t>
      </w:r>
    </w:p>
    <w:p>
      <w:pPr>
        <w:spacing w:before="163" w:beforeLines="50" w:after="163" w:afterLines="50"/>
        <w:ind w:firstLine="480" w:firstLineChars="200"/>
        <w:rPr>
          <w:rFonts w:ascii="黑体" w:hAnsi="黑体" w:eastAsia="黑体" w:cs="仿宋_GB2312"/>
          <w:color w:val="auto"/>
        </w:rPr>
      </w:pPr>
      <w:r>
        <w:rPr>
          <w:rFonts w:hint="eastAsia" w:ascii="黑体" w:hAnsi="黑体" w:eastAsia="黑体" w:cs="仿宋_GB2312"/>
          <w:color w:val="auto"/>
        </w:rPr>
        <w:t>5.开展科普活动情况</w:t>
      </w:r>
    </w:p>
    <w:tbl>
      <w:tblPr>
        <w:tblStyle w:val="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1"/>
        <w:gridCol w:w="1815"/>
        <w:gridCol w:w="1140"/>
        <w:gridCol w:w="48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4" w:hRule="atLeast"/>
          <w:jc w:val="center"/>
        </w:trPr>
        <w:tc>
          <w:tcPr>
            <w:tcW w:w="417" w:type="pct"/>
            <w:vAlign w:val="center"/>
          </w:tcPr>
          <w:p>
            <w:pPr>
              <w:jc w:val="center"/>
              <w:rPr>
                <w:rFonts w:ascii="黑体" w:hAnsi="黑体" w:eastAsia="黑体" w:cs="宋体"/>
                <w:color w:val="auto"/>
              </w:rPr>
            </w:pPr>
            <w:r>
              <w:rPr>
                <w:rFonts w:hint="eastAsia" w:ascii="黑体" w:hAnsi="黑体" w:eastAsia="黑体" w:cs="宋体"/>
                <w:color w:val="auto"/>
              </w:rPr>
              <w:t>序号</w:t>
            </w:r>
          </w:p>
        </w:tc>
        <w:tc>
          <w:tcPr>
            <w:tcW w:w="1065" w:type="pct"/>
            <w:vAlign w:val="center"/>
          </w:tcPr>
          <w:p>
            <w:pPr>
              <w:jc w:val="center"/>
              <w:rPr>
                <w:rFonts w:ascii="黑体" w:hAnsi="黑体" w:eastAsia="黑体" w:cs="宋体"/>
                <w:color w:val="auto"/>
              </w:rPr>
            </w:pPr>
            <w:r>
              <w:rPr>
                <w:rFonts w:hint="eastAsia" w:ascii="黑体" w:hAnsi="黑体" w:eastAsia="黑体" w:cs="宋体"/>
                <w:color w:val="auto"/>
              </w:rPr>
              <w:t>活动开展时间</w:t>
            </w:r>
          </w:p>
        </w:tc>
        <w:tc>
          <w:tcPr>
            <w:tcW w:w="669" w:type="pct"/>
            <w:vAlign w:val="center"/>
          </w:tcPr>
          <w:p>
            <w:pPr>
              <w:jc w:val="center"/>
              <w:rPr>
                <w:rFonts w:ascii="黑体" w:hAnsi="黑体" w:eastAsia="黑体" w:cs="宋体"/>
                <w:color w:val="auto"/>
              </w:rPr>
            </w:pPr>
            <w:r>
              <w:rPr>
                <w:rFonts w:hint="eastAsia" w:ascii="黑体" w:hAnsi="黑体" w:eastAsia="黑体" w:cs="宋体"/>
                <w:color w:val="auto"/>
              </w:rPr>
              <w:t>参加人数</w:t>
            </w:r>
          </w:p>
        </w:tc>
        <w:tc>
          <w:tcPr>
            <w:tcW w:w="2847" w:type="pct"/>
            <w:vAlign w:val="center"/>
          </w:tcPr>
          <w:p>
            <w:pPr>
              <w:jc w:val="center"/>
              <w:rPr>
                <w:rFonts w:ascii="黑体" w:hAnsi="黑体" w:eastAsia="黑体" w:cs="宋体"/>
                <w:color w:val="auto"/>
              </w:rPr>
            </w:pPr>
            <w:r>
              <w:rPr>
                <w:rFonts w:hint="eastAsia" w:ascii="黑体" w:hAnsi="黑体" w:eastAsia="黑体" w:cs="宋体"/>
                <w:color w:val="auto"/>
              </w:rPr>
              <w:t>活动报道网址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7" w:type="pct"/>
            <w:vAlign w:val="center"/>
          </w:tcPr>
          <w:p>
            <w:pPr>
              <w:jc w:val="center"/>
              <w:rPr>
                <w:rFonts w:hint="eastAsia" w:ascii="黑体" w:hAnsi="黑体" w:eastAsia="黑体" w:cs="宋体"/>
                <w:color w:val="auto"/>
              </w:rPr>
            </w:pPr>
          </w:p>
        </w:tc>
        <w:tc>
          <w:tcPr>
            <w:tcW w:w="1065" w:type="pct"/>
            <w:vAlign w:val="center"/>
          </w:tcPr>
          <w:p>
            <w:pPr>
              <w:jc w:val="center"/>
              <w:rPr>
                <w:rFonts w:hint="eastAsia" w:ascii="黑体" w:hAnsi="黑体" w:eastAsia="黑体" w:cs="宋体"/>
                <w:color w:val="auto"/>
                <w:lang w:eastAsia="zh-CN"/>
              </w:rPr>
            </w:pPr>
            <w:r>
              <w:rPr>
                <w:rFonts w:hint="eastAsia" w:ascii="仿宋" w:hAnsi="仿宋" w:eastAsia="仿宋" w:cs="仿宋"/>
                <w:sz w:val="21"/>
                <w:szCs w:val="21"/>
                <w:lang w:val="en-US" w:eastAsia="zh-CN"/>
              </w:rPr>
              <w:t>因疫情影响不能入校故未开展</w:t>
            </w:r>
          </w:p>
        </w:tc>
        <w:tc>
          <w:tcPr>
            <w:tcW w:w="669" w:type="pct"/>
            <w:vAlign w:val="center"/>
          </w:tcPr>
          <w:p>
            <w:pPr>
              <w:jc w:val="center"/>
              <w:rPr>
                <w:rFonts w:hint="eastAsia" w:ascii="黑体" w:hAnsi="黑体" w:eastAsia="黑体" w:cs="宋体"/>
                <w:color w:val="auto"/>
              </w:rPr>
            </w:pPr>
          </w:p>
        </w:tc>
        <w:tc>
          <w:tcPr>
            <w:tcW w:w="2847" w:type="pct"/>
            <w:vAlign w:val="center"/>
          </w:tcPr>
          <w:p>
            <w:pPr>
              <w:jc w:val="center"/>
              <w:rPr>
                <w:rFonts w:hint="eastAsia" w:ascii="黑体" w:hAnsi="黑体" w:eastAsia="黑体" w:cs="宋体"/>
                <w:color w:va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7" w:type="pct"/>
            <w:vAlign w:val="center"/>
          </w:tcPr>
          <w:p>
            <w:pPr>
              <w:jc w:val="center"/>
              <w:rPr>
                <w:rFonts w:hint="eastAsia" w:ascii="黑体" w:hAnsi="黑体" w:eastAsia="黑体" w:cs="宋体"/>
                <w:color w:val="auto"/>
              </w:rPr>
            </w:pPr>
          </w:p>
        </w:tc>
        <w:tc>
          <w:tcPr>
            <w:tcW w:w="1065" w:type="pct"/>
            <w:vAlign w:val="center"/>
          </w:tcPr>
          <w:p>
            <w:pPr>
              <w:jc w:val="center"/>
              <w:rPr>
                <w:rFonts w:hint="eastAsia" w:ascii="黑体" w:hAnsi="黑体" w:eastAsia="黑体" w:cs="宋体"/>
                <w:color w:val="auto"/>
              </w:rPr>
            </w:pPr>
          </w:p>
        </w:tc>
        <w:tc>
          <w:tcPr>
            <w:tcW w:w="669" w:type="pct"/>
            <w:vAlign w:val="center"/>
          </w:tcPr>
          <w:p>
            <w:pPr>
              <w:jc w:val="center"/>
              <w:rPr>
                <w:rFonts w:hint="eastAsia" w:ascii="黑体" w:hAnsi="黑体" w:eastAsia="黑体" w:cs="宋体"/>
                <w:color w:val="auto"/>
              </w:rPr>
            </w:pPr>
          </w:p>
        </w:tc>
        <w:tc>
          <w:tcPr>
            <w:tcW w:w="2847" w:type="pct"/>
            <w:vAlign w:val="center"/>
          </w:tcPr>
          <w:p>
            <w:pPr>
              <w:jc w:val="center"/>
              <w:rPr>
                <w:rFonts w:hint="eastAsia" w:ascii="黑体" w:hAnsi="黑体" w:eastAsia="黑体" w:cs="宋体"/>
                <w:color w:val="auto"/>
              </w:rPr>
            </w:pPr>
          </w:p>
        </w:tc>
      </w:tr>
    </w:tbl>
    <w:p>
      <w:pPr>
        <w:spacing w:before="163" w:beforeLines="50" w:after="163" w:afterLines="50"/>
        <w:ind w:firstLine="480" w:firstLineChars="200"/>
        <w:rPr>
          <w:rFonts w:ascii="黑体" w:hAnsi="黑体" w:eastAsia="黑体" w:cs="仿宋_GB2312"/>
          <w:color w:val="auto"/>
        </w:rPr>
      </w:pPr>
      <w:r>
        <w:rPr>
          <w:rFonts w:hint="eastAsia" w:ascii="黑体" w:hAnsi="黑体" w:eastAsia="黑体" w:cs="仿宋_GB2312"/>
          <w:color w:val="auto"/>
        </w:rPr>
        <w:t>6.承办培训情况</w:t>
      </w:r>
    </w:p>
    <w:tbl>
      <w:tblPr>
        <w:tblStyle w:val="7"/>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800"/>
        <w:gridCol w:w="1440"/>
        <w:gridCol w:w="1080"/>
        <w:gridCol w:w="1260"/>
        <w:gridCol w:w="126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720" w:type="dxa"/>
            <w:noWrap w:val="0"/>
            <w:vAlign w:val="center"/>
          </w:tcPr>
          <w:p>
            <w:pPr>
              <w:jc w:val="center"/>
              <w:rPr>
                <w:rFonts w:ascii="黑体" w:hAnsi="黑体" w:eastAsia="黑体"/>
              </w:rPr>
            </w:pPr>
            <w:r>
              <w:rPr>
                <w:rFonts w:hint="eastAsia" w:ascii="黑体" w:hAnsi="黑体" w:eastAsia="黑体" w:cs="宋体"/>
              </w:rPr>
              <w:t>序号</w:t>
            </w:r>
          </w:p>
        </w:tc>
        <w:tc>
          <w:tcPr>
            <w:tcW w:w="1800" w:type="dxa"/>
            <w:noWrap w:val="0"/>
            <w:vAlign w:val="center"/>
          </w:tcPr>
          <w:p>
            <w:pPr>
              <w:jc w:val="center"/>
              <w:rPr>
                <w:rFonts w:ascii="黑体" w:hAnsi="黑体" w:eastAsia="黑体"/>
              </w:rPr>
            </w:pPr>
            <w:r>
              <w:rPr>
                <w:rFonts w:hint="eastAsia" w:ascii="黑体" w:hAnsi="黑体" w:eastAsia="黑体" w:cs="宋体"/>
              </w:rPr>
              <w:t>培训项目名称</w:t>
            </w:r>
          </w:p>
        </w:tc>
        <w:tc>
          <w:tcPr>
            <w:tcW w:w="1440" w:type="dxa"/>
            <w:noWrap w:val="0"/>
            <w:vAlign w:val="center"/>
          </w:tcPr>
          <w:p>
            <w:pPr>
              <w:jc w:val="center"/>
              <w:rPr>
                <w:rFonts w:ascii="黑体" w:hAnsi="黑体" w:eastAsia="黑体"/>
              </w:rPr>
            </w:pPr>
            <w:r>
              <w:rPr>
                <w:rFonts w:hint="eastAsia" w:ascii="黑体" w:hAnsi="黑体" w:eastAsia="黑体"/>
              </w:rPr>
              <w:t>培训人数</w:t>
            </w:r>
          </w:p>
        </w:tc>
        <w:tc>
          <w:tcPr>
            <w:tcW w:w="1080" w:type="dxa"/>
            <w:noWrap w:val="0"/>
            <w:vAlign w:val="center"/>
          </w:tcPr>
          <w:p>
            <w:pPr>
              <w:jc w:val="center"/>
              <w:rPr>
                <w:rFonts w:ascii="黑体" w:hAnsi="黑体" w:eastAsia="黑体"/>
              </w:rPr>
            </w:pPr>
            <w:r>
              <w:rPr>
                <w:rFonts w:hint="eastAsia" w:ascii="黑体" w:hAnsi="黑体" w:eastAsia="黑体" w:cs="宋体"/>
              </w:rPr>
              <w:t>负责人</w:t>
            </w:r>
          </w:p>
        </w:tc>
        <w:tc>
          <w:tcPr>
            <w:tcW w:w="1260" w:type="dxa"/>
            <w:noWrap w:val="0"/>
            <w:vAlign w:val="center"/>
          </w:tcPr>
          <w:p>
            <w:pPr>
              <w:jc w:val="center"/>
              <w:rPr>
                <w:rFonts w:ascii="黑体" w:hAnsi="黑体" w:eastAsia="黑体"/>
              </w:rPr>
            </w:pPr>
            <w:r>
              <w:rPr>
                <w:rFonts w:hint="eastAsia" w:ascii="黑体" w:hAnsi="黑体" w:eastAsia="黑体" w:cs="宋体"/>
              </w:rPr>
              <w:t>职称</w:t>
            </w:r>
          </w:p>
        </w:tc>
        <w:tc>
          <w:tcPr>
            <w:tcW w:w="1260" w:type="dxa"/>
            <w:noWrap w:val="0"/>
            <w:vAlign w:val="center"/>
          </w:tcPr>
          <w:p>
            <w:pPr>
              <w:jc w:val="center"/>
              <w:rPr>
                <w:rFonts w:ascii="黑体" w:hAnsi="黑体" w:eastAsia="黑体"/>
              </w:rPr>
            </w:pPr>
            <w:r>
              <w:rPr>
                <w:rFonts w:hint="eastAsia" w:ascii="黑体" w:hAnsi="黑体" w:eastAsia="黑体" w:cs="宋体"/>
              </w:rPr>
              <w:t>起止时间</w:t>
            </w:r>
          </w:p>
        </w:tc>
        <w:tc>
          <w:tcPr>
            <w:tcW w:w="1080" w:type="dxa"/>
            <w:noWrap w:val="0"/>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800" w:type="dxa"/>
            <w:noWrap w:val="0"/>
            <w:vAlign w:val="center"/>
          </w:tcPr>
          <w:p>
            <w:pPr>
              <w:adjustRightInd w:val="0"/>
              <w:snapToGrid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红兴隆分公司农业干部岗位素质能力提升培训班</w:t>
            </w:r>
          </w:p>
        </w:tc>
        <w:tc>
          <w:tcPr>
            <w:tcW w:w="144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50</w:t>
            </w:r>
          </w:p>
        </w:tc>
        <w:tc>
          <w:tcPr>
            <w:tcW w:w="108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孙强</w:t>
            </w:r>
          </w:p>
        </w:tc>
        <w:tc>
          <w:tcPr>
            <w:tcW w:w="126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副教授</w:t>
            </w:r>
          </w:p>
        </w:tc>
        <w:tc>
          <w:tcPr>
            <w:tcW w:w="126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2022.08.10-08.18</w:t>
            </w:r>
          </w:p>
        </w:tc>
        <w:tc>
          <w:tcPr>
            <w:tcW w:w="108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外派教师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800" w:type="dxa"/>
            <w:noWrap w:val="0"/>
            <w:vAlign w:val="center"/>
          </w:tcPr>
          <w:p>
            <w:pPr>
              <w:adjustRightInd w:val="0"/>
              <w:snapToGrid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黑龙江省2022年乡村产业振兴带头人培育“头雁”项目线上学习</w:t>
            </w:r>
          </w:p>
        </w:tc>
        <w:tc>
          <w:tcPr>
            <w:tcW w:w="144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205</w:t>
            </w:r>
          </w:p>
        </w:tc>
        <w:tc>
          <w:tcPr>
            <w:tcW w:w="108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孙强</w:t>
            </w:r>
          </w:p>
        </w:tc>
        <w:tc>
          <w:tcPr>
            <w:tcW w:w="126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副教授</w:t>
            </w:r>
          </w:p>
        </w:tc>
        <w:tc>
          <w:tcPr>
            <w:tcW w:w="126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2022.12.06-12.30</w:t>
            </w:r>
          </w:p>
        </w:tc>
        <w:tc>
          <w:tcPr>
            <w:tcW w:w="108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2520" w:type="dxa"/>
            <w:gridSpan w:val="2"/>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合计</w:t>
            </w:r>
          </w:p>
        </w:tc>
        <w:tc>
          <w:tcPr>
            <w:tcW w:w="144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255</w:t>
            </w:r>
          </w:p>
        </w:tc>
        <w:tc>
          <w:tcPr>
            <w:tcW w:w="1080" w:type="dxa"/>
            <w:noWrap w:val="0"/>
            <w:vAlign w:val="center"/>
          </w:tcPr>
          <w:p>
            <w:pPr>
              <w:adjustRightInd w:val="0"/>
              <w:snapToGrid w:val="0"/>
              <w:jc w:val="center"/>
              <w:rPr>
                <w:rFonts w:hint="eastAsia" w:ascii="仿宋" w:hAnsi="仿宋" w:eastAsia="仿宋" w:cs="仿宋"/>
                <w:sz w:val="21"/>
                <w:szCs w:val="21"/>
                <w:lang w:val="en-US" w:eastAsia="zh-CN"/>
              </w:rPr>
            </w:pPr>
          </w:p>
        </w:tc>
        <w:tc>
          <w:tcPr>
            <w:tcW w:w="1260" w:type="dxa"/>
            <w:noWrap w:val="0"/>
            <w:vAlign w:val="center"/>
          </w:tcPr>
          <w:p>
            <w:pPr>
              <w:adjustRightInd w:val="0"/>
              <w:snapToGrid w:val="0"/>
              <w:jc w:val="center"/>
              <w:rPr>
                <w:rFonts w:hint="eastAsia" w:ascii="仿宋" w:hAnsi="仿宋" w:eastAsia="仿宋" w:cs="仿宋"/>
                <w:sz w:val="21"/>
                <w:szCs w:val="21"/>
                <w:lang w:val="en-US" w:eastAsia="zh-CN"/>
              </w:rPr>
            </w:pPr>
          </w:p>
        </w:tc>
        <w:tc>
          <w:tcPr>
            <w:tcW w:w="1260" w:type="dxa"/>
            <w:noWrap w:val="0"/>
            <w:vAlign w:val="center"/>
          </w:tcPr>
          <w:p>
            <w:pPr>
              <w:adjustRightInd w:val="0"/>
              <w:snapToGrid w:val="0"/>
              <w:jc w:val="center"/>
              <w:rPr>
                <w:rFonts w:hint="eastAsia" w:ascii="仿宋" w:hAnsi="仿宋" w:eastAsia="仿宋" w:cs="仿宋"/>
                <w:sz w:val="21"/>
                <w:szCs w:val="21"/>
                <w:lang w:val="en-US" w:eastAsia="zh-CN"/>
              </w:rPr>
            </w:pPr>
          </w:p>
        </w:tc>
        <w:tc>
          <w:tcPr>
            <w:tcW w:w="1080" w:type="dxa"/>
            <w:noWrap w:val="0"/>
            <w:vAlign w:val="center"/>
          </w:tcPr>
          <w:p>
            <w:pPr>
              <w:adjustRightInd w:val="0"/>
              <w:snapToGrid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12.2</w:t>
            </w:r>
          </w:p>
        </w:tc>
      </w:tr>
    </w:tbl>
    <w:p>
      <w:pPr>
        <w:ind w:firstLine="480" w:firstLineChars="200"/>
        <w:rPr>
          <w:rFonts w:ascii="楷体" w:hAnsi="楷体" w:eastAsia="楷体" w:cs="仿宋_GB2312"/>
          <w:color w:val="auto"/>
        </w:rPr>
      </w:pPr>
      <w:r>
        <w:rPr>
          <w:rFonts w:hint="eastAsia" w:ascii="楷体" w:hAnsi="楷体" w:eastAsia="楷体" w:cs="仿宋_GB2312"/>
          <w:color w:val="auto"/>
        </w:rPr>
        <w:t>注：培训项目以正式文件为准，培训人数以签到表为准。</w:t>
      </w:r>
    </w:p>
    <w:p>
      <w:pPr>
        <w:spacing w:before="163" w:beforeLines="50"/>
        <w:ind w:firstLine="560" w:firstLineChars="200"/>
        <w:rPr>
          <w:rFonts w:ascii="黑体" w:hAnsi="黑体" w:eastAsia="黑体"/>
          <w:color w:val="auto"/>
          <w:sz w:val="28"/>
          <w:szCs w:val="28"/>
        </w:rPr>
      </w:pPr>
      <w:r>
        <w:rPr>
          <w:rFonts w:hint="eastAsia" w:ascii="黑体" w:hAnsi="黑体" w:eastAsia="黑体"/>
          <w:color w:val="auto"/>
          <w:sz w:val="28"/>
          <w:szCs w:val="28"/>
        </w:rPr>
        <w:t>（三）安全工作情况</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28"/>
        <w:gridCol w:w="2129"/>
        <w:gridCol w:w="42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1" w:type="dxa"/>
            <w:gridSpan w:val="2"/>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安全教育培训情况</w:t>
            </w:r>
          </w:p>
        </w:tc>
        <w:tc>
          <w:tcPr>
            <w:tcW w:w="4261" w:type="dxa"/>
            <w:vAlign w:val="center"/>
          </w:tcPr>
          <w:p>
            <w:pPr>
              <w:adjustRightInd w:val="0"/>
              <w:snapToGrid w:val="0"/>
              <w:jc w:val="center"/>
              <w:rPr>
                <w:rFonts w:hint="eastAsia" w:ascii="楷体" w:hAnsi="楷体" w:eastAsia="楷体" w:cs="Times New Roman"/>
                <w:bCs/>
                <w:color w:val="auto"/>
                <w:lang w:val="en-US" w:eastAsia="zh-CN"/>
              </w:rPr>
            </w:pPr>
            <w:r>
              <w:rPr>
                <w:rFonts w:hint="eastAsia" w:ascii="楷体" w:hAnsi="楷体" w:eastAsia="楷体" w:cs="Times New Roman"/>
                <w:bCs/>
                <w:color w:val="auto"/>
                <w:lang w:val="en-US" w:eastAsia="zh-CN"/>
              </w:rPr>
              <w:t>370</w:t>
            </w:r>
            <w:r>
              <w:rPr>
                <w:rFonts w:hint="eastAsia" w:ascii="楷体" w:hAnsi="楷体" w:eastAsia="楷体" w:cs="Times New Roman"/>
                <w:bCs/>
                <w:color w:val="auto"/>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8522" w:type="dxa"/>
            <w:gridSpan w:val="3"/>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0" w:type="dxa"/>
            <w:gridSpan w:val="2"/>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伤亡人数（人）</w:t>
            </w:r>
          </w:p>
        </w:tc>
        <w:tc>
          <w:tcPr>
            <w:tcW w:w="4262" w:type="dxa"/>
            <w:vMerge w:val="restart"/>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伤</w:t>
            </w:r>
          </w:p>
        </w:tc>
        <w:tc>
          <w:tcPr>
            <w:tcW w:w="2130" w:type="dxa"/>
            <w:vAlign w:val="center"/>
          </w:tcPr>
          <w:p>
            <w:pPr>
              <w:adjustRightInd w:val="0"/>
              <w:snapToGrid w:val="0"/>
              <w:jc w:val="center"/>
              <w:rPr>
                <w:rFonts w:ascii="黑体" w:hAnsi="黑体" w:eastAsia="黑体" w:cs="Times New Roman"/>
                <w:bCs/>
                <w:color w:val="auto"/>
              </w:rPr>
            </w:pPr>
            <w:r>
              <w:rPr>
                <w:rFonts w:hint="eastAsia" w:ascii="黑体" w:hAnsi="黑体" w:eastAsia="黑体" w:cs="Times New Roman"/>
                <w:bCs/>
                <w:color w:val="auto"/>
              </w:rPr>
              <w:t>亡</w:t>
            </w:r>
          </w:p>
        </w:tc>
        <w:tc>
          <w:tcPr>
            <w:tcW w:w="4262" w:type="dxa"/>
            <w:vMerge w:val="continue"/>
            <w:vAlign w:val="center"/>
          </w:tcPr>
          <w:p>
            <w:pPr>
              <w:adjustRightInd w:val="0"/>
              <w:snapToGrid w:val="0"/>
              <w:jc w:val="center"/>
              <w:rPr>
                <w:rFonts w:ascii="仿宋" w:hAnsi="仿宋" w:eastAsia="仿宋" w:cs="Times New Roman"/>
                <w:bCs/>
                <w:color w:val="auto"/>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hint="eastAsia" w:ascii="仿宋" w:hAnsi="仿宋" w:eastAsia="仿宋" w:cs="Times New Roman"/>
                <w:bCs/>
                <w:color w:val="auto"/>
                <w:sz w:val="28"/>
                <w:szCs w:val="28"/>
                <w:lang w:val="en-US" w:eastAsia="zh-CN"/>
              </w:rPr>
            </w:pPr>
            <w:r>
              <w:rPr>
                <w:rFonts w:hint="eastAsia" w:ascii="仿宋" w:hAnsi="仿宋" w:eastAsia="仿宋" w:cs="Times New Roman"/>
                <w:bCs/>
                <w:color w:val="auto"/>
                <w:sz w:val="28"/>
                <w:szCs w:val="28"/>
                <w:lang w:val="en-US" w:eastAsia="zh-CN"/>
              </w:rPr>
              <w:t>0</w:t>
            </w:r>
          </w:p>
        </w:tc>
        <w:tc>
          <w:tcPr>
            <w:tcW w:w="2130" w:type="dxa"/>
            <w:vAlign w:val="center"/>
          </w:tcPr>
          <w:p>
            <w:pPr>
              <w:adjustRightInd w:val="0"/>
              <w:snapToGrid w:val="0"/>
              <w:jc w:val="center"/>
              <w:rPr>
                <w:rFonts w:hint="eastAsia" w:ascii="仿宋" w:hAnsi="仿宋" w:eastAsia="仿宋" w:cs="Times New Roman"/>
                <w:bCs/>
                <w:color w:val="auto"/>
                <w:sz w:val="28"/>
                <w:szCs w:val="28"/>
                <w:lang w:val="en-US" w:eastAsia="zh-CN"/>
              </w:rPr>
            </w:pPr>
            <w:r>
              <w:rPr>
                <w:rFonts w:hint="eastAsia" w:ascii="仿宋" w:hAnsi="仿宋" w:eastAsia="仿宋" w:cs="Times New Roman"/>
                <w:bCs/>
                <w:color w:val="auto"/>
                <w:sz w:val="28"/>
                <w:szCs w:val="28"/>
                <w:lang w:val="en-US" w:eastAsia="zh-CN"/>
              </w:rPr>
              <w:t>0</w:t>
            </w:r>
          </w:p>
        </w:tc>
        <w:tc>
          <w:tcPr>
            <w:tcW w:w="4262" w:type="dxa"/>
            <w:vAlign w:val="center"/>
          </w:tcPr>
          <w:p>
            <w:pPr>
              <w:adjustRightInd w:val="0"/>
              <w:snapToGrid w:val="0"/>
              <w:jc w:val="center"/>
              <w:rPr>
                <w:rFonts w:ascii="仿宋" w:hAnsi="仿宋" w:eastAsia="仿宋" w:cs="Times New Roman"/>
                <w:bCs/>
                <w:color w:val="auto"/>
                <w:sz w:val="28"/>
                <w:szCs w:val="28"/>
              </w:rPr>
            </w:pPr>
            <w:r>
              <w:rPr>
                <w:rFonts w:ascii="Arial" w:hAnsi="Arial" w:eastAsia="仿宋" w:cs="Arial"/>
                <w:bCs/>
                <w:sz w:val="28"/>
                <w:szCs w:val="28"/>
              </w:rPr>
              <w:t>√</w:t>
            </w:r>
          </w:p>
        </w:tc>
      </w:tr>
    </w:tbl>
    <w:p>
      <w:pPr>
        <w:adjustRightInd w:val="0"/>
        <w:snapToGrid w:val="0"/>
        <w:ind w:firstLine="480" w:firstLineChars="200"/>
        <w:rPr>
          <w:rFonts w:ascii="黑体" w:hAnsi="黑体" w:eastAsia="黑体" w:cs="Times New Roman"/>
          <w:b/>
          <w:bCs/>
          <w:color w:val="auto"/>
          <w:sz w:val="32"/>
          <w:szCs w:val="32"/>
        </w:rPr>
      </w:pPr>
      <w:r>
        <w:rPr>
          <w:rFonts w:hint="eastAsia" w:ascii="楷体" w:hAnsi="楷体" w:eastAsia="楷体" w:cs="Times New Roman"/>
          <w:bCs/>
          <w:color w:val="auto"/>
        </w:rPr>
        <w:t>注：安全责任事故以所在高校发布的安全责任事故通报文件为准。如未发生安全责任事故，请在其下方表格打钩。如发生安全责任事故，请说明伤亡人数。</w:t>
      </w: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widowControl/>
        <w:spacing w:line="240" w:lineRule="auto"/>
        <w:rPr>
          <w:rFonts w:hint="eastAsia" w:ascii="仿宋" w:hAnsi="仿宋" w:eastAsia="仿宋" w:cs="Times New Roman"/>
          <w:color w:val="auto"/>
          <w:kern w:val="0"/>
          <w:sz w:val="32"/>
          <w:szCs w:val="32"/>
          <w:lang w:eastAsia="zh-CN"/>
        </w:rPr>
      </w:pPr>
    </w:p>
    <w:p>
      <w:pPr>
        <w:adjustRightInd w:val="0"/>
        <w:snapToGrid w:val="0"/>
        <w:spacing w:before="163" w:beforeLines="50"/>
        <w:ind w:firstLine="643" w:firstLineChars="200"/>
        <w:rPr>
          <w:rFonts w:ascii="黑体" w:hAnsi="黑体" w:eastAsia="黑体" w:cs="Times New Roman"/>
          <w:b/>
          <w:bCs/>
          <w:sz w:val="32"/>
          <w:szCs w:val="32"/>
        </w:rPr>
      </w:pPr>
      <w:r>
        <w:rPr>
          <w:rFonts w:hint="eastAsia" w:ascii="黑体" w:hAnsi="黑体" w:eastAsia="黑体" w:cs="Times New Roman"/>
          <w:b/>
          <w:bCs/>
          <w:sz w:val="32"/>
          <w:szCs w:val="32"/>
        </w:rPr>
        <w:t>六</w:t>
      </w:r>
      <w:r>
        <w:rPr>
          <w:rFonts w:ascii="黑体" w:hAnsi="黑体" w:eastAsia="黑体" w:cs="Times New Roman"/>
          <w:b/>
          <w:bCs/>
          <w:sz w:val="32"/>
          <w:szCs w:val="32"/>
        </w:rPr>
        <w:t>、审核意见</w:t>
      </w:r>
    </w:p>
    <w:p>
      <w:pPr>
        <w:adjustRightInd w:val="0"/>
        <w:snapToGrid w:val="0"/>
        <w:spacing w:before="163" w:beforeLines="50" w:after="163" w:afterLines="50"/>
        <w:ind w:firstLine="560" w:firstLineChars="200"/>
        <w:rPr>
          <w:rFonts w:ascii="黑体" w:hAnsi="黑体" w:eastAsia="黑体" w:cs="Times New Roman"/>
          <w:sz w:val="28"/>
          <w:szCs w:val="28"/>
        </w:rPr>
      </w:pPr>
      <w:r>
        <w:rPr>
          <w:rFonts w:hint="eastAsia" w:ascii="黑体" w:hAnsi="黑体" w:eastAsia="黑体" w:cs="Times New Roman"/>
          <w:sz w:val="28"/>
          <w:szCs w:val="28"/>
        </w:rPr>
        <w:t>（一）示范中心负责人意见</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jc w:val="center"/>
        </w:trPr>
        <w:tc>
          <w:tcPr>
            <w:tcW w:w="5000" w:type="pct"/>
          </w:tcPr>
          <w:p>
            <w:pPr>
              <w:adjustRightInd w:val="0"/>
              <w:snapToGrid w:val="0"/>
              <w:spacing w:before="65" w:beforeLines="20"/>
              <w:ind w:firstLine="480" w:firstLineChars="200"/>
              <w:rPr>
                <w:rFonts w:ascii="楷体" w:hAnsi="楷体" w:eastAsia="楷体" w:cs="Times New Roman"/>
              </w:rPr>
            </w:pPr>
            <w:r>
              <w:rPr>
                <w:rFonts w:hint="eastAsia" w:ascii="楷体" w:hAnsi="楷体" w:eastAsia="楷体" w:cs="Times New Roman"/>
              </w:rPr>
              <w:t>（示范中心</w:t>
            </w:r>
            <w:r>
              <w:rPr>
                <w:rFonts w:ascii="楷体" w:hAnsi="楷体" w:eastAsia="楷体" w:cs="Times New Roman"/>
              </w:rPr>
              <w:t>承诺所填内容属实，数据准确可靠。</w:t>
            </w:r>
            <w:r>
              <w:rPr>
                <w:rFonts w:hint="eastAsia" w:ascii="楷体" w:hAnsi="楷体" w:eastAsia="楷体" w:cs="Times New Roman"/>
              </w:rPr>
              <w:t>）</w:t>
            </w:r>
          </w:p>
          <w:p>
            <w:pPr>
              <w:adjustRightInd w:val="0"/>
              <w:snapToGrid w:val="0"/>
              <w:rPr>
                <w:rFonts w:ascii="楷体" w:hAnsi="楷体" w:eastAsia="楷体" w:cs="Times New Roman"/>
              </w:rPr>
            </w:pPr>
          </w:p>
          <w:p>
            <w:pPr>
              <w:adjustRightInd w:val="0"/>
              <w:snapToGrid w:val="0"/>
              <w:rPr>
                <w:rFonts w:ascii="楷体" w:hAnsi="楷体" w:eastAsia="楷体" w:cs="Times New Roman"/>
                <w:strike/>
              </w:rPr>
            </w:pPr>
          </w:p>
          <w:p>
            <w:pPr>
              <w:adjustRightInd w:val="0"/>
              <w:snapToGrid w:val="0"/>
              <w:ind w:firstLine="720" w:firstLineChars="300"/>
              <w:rPr>
                <w:rFonts w:hint="eastAsia" w:ascii="楷体" w:hAnsi="楷体" w:eastAsia="楷体" w:cs="Times New Roman"/>
                <w:lang w:eastAsia="zh-CN"/>
              </w:rPr>
            </w:pPr>
            <w:r>
              <w:rPr>
                <w:rFonts w:hint="eastAsia" w:ascii="楷体" w:hAnsi="楷体" w:eastAsia="楷体" w:cs="Times New Roman"/>
                <w:lang w:eastAsia="zh-CN"/>
              </w:rPr>
              <w:t>示范中心承诺，所填内容属实，数据准确可靠。</w:t>
            </w: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spacing w:line="460" w:lineRule="exact"/>
              <w:ind w:right="1706" w:rightChars="711"/>
              <w:jc w:val="right"/>
              <w:rPr>
                <w:rFonts w:ascii="楷体" w:hAnsi="楷体" w:eastAsia="楷体" w:cs="Times New Roman"/>
              </w:rPr>
            </w:pPr>
            <w:r>
              <w:rPr>
                <w:rFonts w:ascii="楷体" w:hAnsi="楷体" w:eastAsia="楷体" w:cs="Times New Roman"/>
              </w:rPr>
              <w:t>数据审核人：</w:t>
            </w:r>
          </w:p>
          <w:p>
            <w:pPr>
              <w:adjustRightInd w:val="0"/>
              <w:snapToGrid w:val="0"/>
              <w:spacing w:line="460" w:lineRule="exact"/>
              <w:ind w:right="1706" w:rightChars="711"/>
              <w:jc w:val="right"/>
              <w:rPr>
                <w:rFonts w:ascii="楷体" w:hAnsi="楷体" w:eastAsia="楷体" w:cs="Times New Roman"/>
              </w:rPr>
            </w:pPr>
            <w:r>
              <w:rPr>
                <w:rFonts w:hint="eastAsia" w:ascii="楷体" w:hAnsi="楷体" w:eastAsia="楷体" w:cs="Times New Roman"/>
              </w:rPr>
              <w:t>示范中心</w:t>
            </w:r>
            <w:r>
              <w:rPr>
                <w:rFonts w:ascii="楷体" w:hAnsi="楷体" w:eastAsia="楷体" w:cs="Times New Roman"/>
              </w:rPr>
              <w:t>主任：</w:t>
            </w:r>
          </w:p>
          <w:p>
            <w:pPr>
              <w:adjustRightInd w:val="0"/>
              <w:snapToGrid w:val="0"/>
              <w:spacing w:line="460" w:lineRule="exact"/>
              <w:ind w:right="1706" w:rightChars="711"/>
              <w:jc w:val="right"/>
              <w:rPr>
                <w:rFonts w:ascii="楷体" w:hAnsi="楷体" w:eastAsia="楷体" w:cs="Times New Roman"/>
              </w:rPr>
            </w:pPr>
            <w:r>
              <w:rPr>
                <w:rFonts w:ascii="楷体" w:hAnsi="楷体" w:eastAsia="楷体" w:cs="Times New Roman"/>
              </w:rPr>
              <w:t>（单位公章）</w:t>
            </w:r>
          </w:p>
          <w:p>
            <w:pPr>
              <w:adjustRightInd w:val="0"/>
              <w:snapToGrid w:val="0"/>
              <w:spacing w:line="460" w:lineRule="exact"/>
              <w:ind w:right="1706" w:rightChars="711"/>
              <w:jc w:val="right"/>
              <w:rPr>
                <w:rFonts w:ascii="楷体" w:hAnsi="楷体" w:eastAsia="楷体" w:cs="Times New Roman"/>
              </w:rPr>
            </w:pPr>
          </w:p>
          <w:p>
            <w:pPr>
              <w:adjustRightInd w:val="0"/>
              <w:snapToGrid w:val="0"/>
              <w:spacing w:line="460" w:lineRule="exact"/>
              <w:ind w:right="1706" w:rightChars="711"/>
              <w:jc w:val="right"/>
              <w:rPr>
                <w:rFonts w:ascii="楷体" w:hAnsi="楷体" w:eastAsia="楷体" w:cs="Times New Roman"/>
              </w:rPr>
            </w:pPr>
          </w:p>
          <w:p>
            <w:pPr>
              <w:adjustRightInd w:val="0"/>
              <w:snapToGrid w:val="0"/>
              <w:ind w:right="898" w:rightChars="374"/>
              <w:jc w:val="right"/>
              <w:rPr>
                <w:rFonts w:ascii="仿宋" w:hAnsi="仿宋" w:eastAsia="仿宋" w:cs="Times New Roman"/>
                <w:sz w:val="28"/>
                <w:szCs w:val="28"/>
              </w:rPr>
            </w:pPr>
            <w:r>
              <w:rPr>
                <w:rFonts w:ascii="楷体" w:hAnsi="楷体" w:eastAsia="楷体" w:cs="Times New Roman"/>
              </w:rPr>
              <w:t>年    月    日</w:t>
            </w:r>
          </w:p>
        </w:tc>
      </w:tr>
    </w:tbl>
    <w:p>
      <w:pPr>
        <w:adjustRightInd w:val="0"/>
        <w:snapToGrid w:val="0"/>
        <w:spacing w:before="163" w:beforeLines="50" w:after="163" w:afterLines="50"/>
        <w:ind w:firstLine="560" w:firstLineChars="200"/>
        <w:rPr>
          <w:rFonts w:ascii="黑体" w:hAnsi="黑体" w:eastAsia="黑体" w:cs="Times New Roman"/>
          <w:sz w:val="28"/>
          <w:szCs w:val="28"/>
        </w:rPr>
      </w:pPr>
      <w:r>
        <w:rPr>
          <w:rFonts w:hint="eastAsia" w:ascii="黑体" w:hAnsi="黑体" w:eastAsia="黑体" w:cs="Times New Roman"/>
          <w:sz w:val="28"/>
          <w:szCs w:val="28"/>
        </w:rPr>
        <w:t>（二）学校评估意见</w:t>
      </w:r>
    </w:p>
    <w:tbl>
      <w:tblPr>
        <w:tblStyle w:val="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2" w:hRule="atLeast"/>
        </w:trPr>
        <w:tc>
          <w:tcPr>
            <w:tcW w:w="5000" w:type="pct"/>
          </w:tcPr>
          <w:p>
            <w:pPr>
              <w:adjustRightInd w:val="0"/>
              <w:snapToGrid w:val="0"/>
              <w:spacing w:before="65" w:beforeLines="20"/>
              <w:ind w:firstLine="480" w:firstLineChars="200"/>
              <w:rPr>
                <w:rFonts w:ascii="楷体" w:hAnsi="楷体" w:eastAsia="楷体" w:cs="Times New Roman"/>
              </w:rPr>
            </w:pPr>
            <w:r>
              <w:rPr>
                <w:rFonts w:hint="eastAsia" w:ascii="楷体" w:hAnsi="楷体" w:eastAsia="楷体" w:cs="Times New Roman"/>
              </w:rPr>
              <w:t>所在学校</w:t>
            </w:r>
            <w:r>
              <w:rPr>
                <w:rFonts w:ascii="楷体" w:hAnsi="楷体" w:eastAsia="楷体" w:cs="Times New Roman"/>
              </w:rPr>
              <w:t>年度考核意见：</w:t>
            </w:r>
          </w:p>
          <w:p>
            <w:pPr>
              <w:adjustRightInd w:val="0"/>
              <w:snapToGrid w:val="0"/>
              <w:ind w:firstLine="480" w:firstLineChars="200"/>
              <w:rPr>
                <w:rFonts w:ascii="楷体" w:hAnsi="楷体" w:eastAsia="楷体" w:cs="Times New Roman"/>
              </w:rPr>
            </w:pPr>
            <w:r>
              <w:rPr>
                <w:rFonts w:ascii="楷体" w:hAnsi="楷体" w:eastAsia="楷体" w:cs="Times New Roman"/>
              </w:rPr>
              <w:t>（需明确是否通过本年度考核，并</w:t>
            </w:r>
            <w:r>
              <w:rPr>
                <w:rFonts w:hint="eastAsia" w:ascii="楷体" w:hAnsi="楷体" w:eastAsia="楷体" w:cs="Times New Roman"/>
              </w:rPr>
              <w:t>明确</w:t>
            </w:r>
            <w:r>
              <w:rPr>
                <w:rFonts w:ascii="楷体" w:hAnsi="楷体" w:eastAsia="楷体" w:cs="Times New Roman"/>
              </w:rPr>
              <w:t>下一步对</w:t>
            </w:r>
            <w:r>
              <w:rPr>
                <w:rFonts w:hint="eastAsia" w:ascii="楷体" w:hAnsi="楷体" w:eastAsia="楷体" w:cs="Times New Roman"/>
              </w:rPr>
              <w:t>示范中心</w:t>
            </w:r>
            <w:r>
              <w:rPr>
                <w:rFonts w:ascii="楷体" w:hAnsi="楷体" w:eastAsia="楷体" w:cs="Times New Roman"/>
              </w:rPr>
              <w:t>的支持。）</w:t>
            </w:r>
          </w:p>
          <w:p>
            <w:pPr>
              <w:adjustRightInd w:val="0"/>
              <w:snapToGrid w:val="0"/>
              <w:rPr>
                <w:rFonts w:ascii="楷体" w:hAnsi="楷体" w:eastAsia="楷体" w:cs="Times New Roman"/>
              </w:rPr>
            </w:pPr>
          </w:p>
          <w:p>
            <w:pPr>
              <w:adjustRightInd w:val="0"/>
              <w:snapToGrid w:val="0"/>
              <w:ind w:firstLine="480" w:firstLineChars="200"/>
              <w:rPr>
                <w:rFonts w:ascii="楷体" w:hAnsi="楷体" w:eastAsia="楷体" w:cs="Times New Roman"/>
              </w:rPr>
            </w:pPr>
            <w:r>
              <w:rPr>
                <w:rFonts w:hint="eastAsia" w:ascii="楷体" w:hAnsi="楷体" w:eastAsia="楷体" w:cs="Times New Roman"/>
                <w:lang w:eastAsia="zh-CN"/>
              </w:rPr>
              <w:t>通过考核，下一步学校将根据“十四五”发展规划，加强示范中心的管理，在政策、经费等各方面给予支持。</w:t>
            </w: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spacing w:line="500" w:lineRule="exact"/>
              <w:ind w:right="1706" w:rightChars="711"/>
              <w:jc w:val="right"/>
              <w:rPr>
                <w:rFonts w:ascii="楷体" w:hAnsi="楷体" w:eastAsia="楷体" w:cs="Times New Roman"/>
              </w:rPr>
            </w:pPr>
            <w:r>
              <w:rPr>
                <w:rFonts w:hint="eastAsia" w:ascii="楷体" w:hAnsi="楷体" w:eastAsia="楷体" w:cs="Times New Roman"/>
              </w:rPr>
              <w:t>所在学校</w:t>
            </w:r>
            <w:r>
              <w:rPr>
                <w:rFonts w:ascii="楷体" w:hAnsi="楷体" w:eastAsia="楷体" w:cs="Times New Roman"/>
              </w:rPr>
              <w:t>负责人签字：</w:t>
            </w:r>
          </w:p>
          <w:p>
            <w:pPr>
              <w:adjustRightInd w:val="0"/>
              <w:snapToGrid w:val="0"/>
              <w:spacing w:line="500" w:lineRule="exact"/>
              <w:ind w:right="1706" w:rightChars="711"/>
              <w:jc w:val="right"/>
              <w:rPr>
                <w:rFonts w:ascii="楷体" w:hAnsi="楷体" w:eastAsia="楷体" w:cs="Times New Roman"/>
              </w:rPr>
            </w:pPr>
            <w:r>
              <w:rPr>
                <w:rFonts w:ascii="楷体" w:hAnsi="楷体" w:eastAsia="楷体" w:cs="Times New Roman"/>
              </w:rPr>
              <w:t>（单位公章）</w:t>
            </w:r>
          </w:p>
          <w:p>
            <w:pPr>
              <w:adjustRightInd w:val="0"/>
              <w:snapToGrid w:val="0"/>
              <w:spacing w:line="500" w:lineRule="exact"/>
              <w:ind w:right="1706" w:rightChars="711"/>
              <w:jc w:val="both"/>
              <w:rPr>
                <w:rFonts w:ascii="楷体" w:hAnsi="楷体" w:eastAsia="楷体" w:cs="Times New Roman"/>
              </w:rPr>
            </w:pPr>
          </w:p>
          <w:p>
            <w:pPr>
              <w:adjustRightInd w:val="0"/>
              <w:snapToGrid w:val="0"/>
              <w:ind w:right="898" w:rightChars="374"/>
              <w:jc w:val="right"/>
              <w:rPr>
                <w:rFonts w:ascii="仿宋" w:hAnsi="仿宋" w:eastAsia="仿宋" w:cs="Times New Roman"/>
                <w:sz w:val="28"/>
                <w:szCs w:val="28"/>
              </w:rPr>
            </w:pPr>
            <w:r>
              <w:rPr>
                <w:rFonts w:ascii="楷体" w:hAnsi="楷体" w:eastAsia="楷体" w:cs="Times New Roman"/>
              </w:rPr>
              <w:t>年    月    日</w:t>
            </w:r>
          </w:p>
        </w:tc>
      </w:tr>
    </w:tbl>
    <w:p>
      <w:pPr>
        <w:adjustRightInd w:val="0"/>
        <w:snapToGrid w:val="0"/>
        <w:spacing w:before="163" w:beforeLines="50"/>
        <w:rPr>
          <w:rFonts w:ascii="楷体" w:hAnsi="楷体" w:eastAsia="楷体" w:cs="Times New Roman"/>
        </w:rPr>
      </w:pPr>
    </w:p>
    <w:p>
      <w:pPr>
        <w:widowControl/>
        <w:spacing w:line="240" w:lineRule="auto"/>
        <w:rPr>
          <w:rFonts w:hint="eastAsia" w:ascii="仿宋" w:hAnsi="仿宋" w:eastAsia="仿宋" w:cs="Times New Roman"/>
          <w:color w:val="auto"/>
          <w:kern w:val="0"/>
          <w:sz w:val="32"/>
          <w:szCs w:val="32"/>
          <w:lang w:eastAsia="zh-CN"/>
        </w:rPr>
      </w:pPr>
    </w:p>
    <w:sectPr>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pPr>
          <w:pStyle w:val="4"/>
          <w:jc w:val="center"/>
        </w:pPr>
        <w:r>
          <w:fldChar w:fldCharType="begin"/>
        </w:r>
        <w:r>
          <w:instrText xml:space="preserve">PAGE   \* MERGEFORMAT</w:instrText>
        </w:r>
        <w:r>
          <w:fldChar w:fldCharType="separate"/>
        </w:r>
        <w:r>
          <w:rPr>
            <w:lang w:val="zh-CN"/>
          </w:rPr>
          <w:t>7</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9C4C23"/>
    <w:multiLevelType w:val="singleLevel"/>
    <w:tmpl w:val="B29C4C23"/>
    <w:lvl w:ilvl="0" w:tentative="0">
      <w:start w:val="2"/>
      <w:numFmt w:val="chineseCounting"/>
      <w:suff w:val="nothing"/>
      <w:lvlText w:val="%1、"/>
      <w:lvlJc w:val="left"/>
      <w:rPr>
        <w:rFonts w:hint="eastAsia"/>
      </w:rPr>
    </w:lvl>
  </w:abstractNum>
  <w:abstractNum w:abstractNumId="1">
    <w:nsid w:val="4DD057CA"/>
    <w:multiLevelType w:val="multilevel"/>
    <w:tmpl w:val="4DD057C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8FDF5C6"/>
    <w:multiLevelType w:val="singleLevel"/>
    <w:tmpl w:val="58FDF5C6"/>
    <w:lvl w:ilvl="0" w:tentative="0">
      <w:start w:val="1"/>
      <w:numFmt w:val="decimal"/>
      <w:suff w:val="nothing"/>
      <w:lvlText w:val="%1."/>
      <w:lvlJc w:val="left"/>
    </w:lvl>
  </w:abstractNum>
  <w:abstractNum w:abstractNumId="3">
    <w:nsid w:val="58FF3211"/>
    <w:multiLevelType w:val="singleLevel"/>
    <w:tmpl w:val="58FF3211"/>
    <w:lvl w:ilvl="0" w:tentative="0">
      <w:start w:val="1"/>
      <w:numFmt w:val="decimal"/>
      <w:suff w:val="nothing"/>
      <w:lvlText w:val="%1."/>
      <w:lvlJc w:val="left"/>
    </w:lvl>
  </w:abstractNum>
  <w:abstractNum w:abstractNumId="4">
    <w:nsid w:val="7293159C"/>
    <w:multiLevelType w:val="singleLevel"/>
    <w:tmpl w:val="7293159C"/>
    <w:lvl w:ilvl="0" w:tentative="0">
      <w:start w:val="1"/>
      <w:numFmt w:val="chineseCounting"/>
      <w:suff w:val="nothing"/>
      <w:lvlText w:val="（%1）"/>
      <w:lvlJc w:val="left"/>
      <w:rPr>
        <w:rFonts w:hint="eastAsia"/>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lODRhMWRhNGFkN2JhMDlmYzcwYWQzZGQ0ZWRjOTIifQ=="/>
  </w:docVars>
  <w:rsids>
    <w:rsidRoot w:val="00731006"/>
    <w:rsid w:val="00004310"/>
    <w:rsid w:val="000237CF"/>
    <w:rsid w:val="00024A5A"/>
    <w:rsid w:val="00044D85"/>
    <w:rsid w:val="00067E42"/>
    <w:rsid w:val="000725DB"/>
    <w:rsid w:val="000768A2"/>
    <w:rsid w:val="000E55E8"/>
    <w:rsid w:val="000E5AF0"/>
    <w:rsid w:val="00117856"/>
    <w:rsid w:val="00120246"/>
    <w:rsid w:val="00152120"/>
    <w:rsid w:val="001522DA"/>
    <w:rsid w:val="00153C5C"/>
    <w:rsid w:val="00165AC5"/>
    <w:rsid w:val="00192565"/>
    <w:rsid w:val="001A7536"/>
    <w:rsid w:val="001E1DCA"/>
    <w:rsid w:val="001E7F53"/>
    <w:rsid w:val="001F50D6"/>
    <w:rsid w:val="00246D1F"/>
    <w:rsid w:val="002570D2"/>
    <w:rsid w:val="00260E32"/>
    <w:rsid w:val="00263513"/>
    <w:rsid w:val="0027225C"/>
    <w:rsid w:val="00274DA3"/>
    <w:rsid w:val="00277A91"/>
    <w:rsid w:val="0029464E"/>
    <w:rsid w:val="002B0A00"/>
    <w:rsid w:val="002C669C"/>
    <w:rsid w:val="002D6D43"/>
    <w:rsid w:val="002E73BD"/>
    <w:rsid w:val="002F56DB"/>
    <w:rsid w:val="003514F0"/>
    <w:rsid w:val="003647CF"/>
    <w:rsid w:val="00367498"/>
    <w:rsid w:val="00383097"/>
    <w:rsid w:val="00391928"/>
    <w:rsid w:val="00394001"/>
    <w:rsid w:val="003A4001"/>
    <w:rsid w:val="003C4FFF"/>
    <w:rsid w:val="003D0BEF"/>
    <w:rsid w:val="003E7239"/>
    <w:rsid w:val="004048AD"/>
    <w:rsid w:val="00411736"/>
    <w:rsid w:val="0042301E"/>
    <w:rsid w:val="004604EC"/>
    <w:rsid w:val="0046335C"/>
    <w:rsid w:val="0049294E"/>
    <w:rsid w:val="004B49A3"/>
    <w:rsid w:val="004B7E75"/>
    <w:rsid w:val="004C1EC8"/>
    <w:rsid w:val="004C1F5E"/>
    <w:rsid w:val="004D2B81"/>
    <w:rsid w:val="004F27AD"/>
    <w:rsid w:val="00500DA4"/>
    <w:rsid w:val="00504DC8"/>
    <w:rsid w:val="00516971"/>
    <w:rsid w:val="0055030B"/>
    <w:rsid w:val="005513FC"/>
    <w:rsid w:val="00571B4B"/>
    <w:rsid w:val="005938FB"/>
    <w:rsid w:val="005B7DE6"/>
    <w:rsid w:val="005D0736"/>
    <w:rsid w:val="00613227"/>
    <w:rsid w:val="006167A0"/>
    <w:rsid w:val="00682C85"/>
    <w:rsid w:val="00696B85"/>
    <w:rsid w:val="006D4FA6"/>
    <w:rsid w:val="006F597C"/>
    <w:rsid w:val="00707008"/>
    <w:rsid w:val="00731006"/>
    <w:rsid w:val="007556CC"/>
    <w:rsid w:val="00773249"/>
    <w:rsid w:val="007921BC"/>
    <w:rsid w:val="007A130E"/>
    <w:rsid w:val="007A7F01"/>
    <w:rsid w:val="007B1657"/>
    <w:rsid w:val="007C26B7"/>
    <w:rsid w:val="008112D4"/>
    <w:rsid w:val="00836E97"/>
    <w:rsid w:val="0085403E"/>
    <w:rsid w:val="008858E7"/>
    <w:rsid w:val="008A2496"/>
    <w:rsid w:val="008D11D8"/>
    <w:rsid w:val="008D604D"/>
    <w:rsid w:val="008D7917"/>
    <w:rsid w:val="008F179F"/>
    <w:rsid w:val="00902DE6"/>
    <w:rsid w:val="00914CFB"/>
    <w:rsid w:val="00923471"/>
    <w:rsid w:val="009705FC"/>
    <w:rsid w:val="00977BCB"/>
    <w:rsid w:val="00993A69"/>
    <w:rsid w:val="009B20B2"/>
    <w:rsid w:val="009B6A2C"/>
    <w:rsid w:val="009E27AB"/>
    <w:rsid w:val="009F2C4D"/>
    <w:rsid w:val="009F5BCC"/>
    <w:rsid w:val="00A85D7B"/>
    <w:rsid w:val="00AA7370"/>
    <w:rsid w:val="00AB27F1"/>
    <w:rsid w:val="00AB2B69"/>
    <w:rsid w:val="00AC36AA"/>
    <w:rsid w:val="00B13307"/>
    <w:rsid w:val="00B23129"/>
    <w:rsid w:val="00B40E37"/>
    <w:rsid w:val="00B44470"/>
    <w:rsid w:val="00B54E1E"/>
    <w:rsid w:val="00B83EE0"/>
    <w:rsid w:val="00BA216D"/>
    <w:rsid w:val="00BA6208"/>
    <w:rsid w:val="00BC61F0"/>
    <w:rsid w:val="00BD4C0F"/>
    <w:rsid w:val="00BD5723"/>
    <w:rsid w:val="00BE60A0"/>
    <w:rsid w:val="00C12FCB"/>
    <w:rsid w:val="00C92499"/>
    <w:rsid w:val="00CA4A00"/>
    <w:rsid w:val="00CB6DDC"/>
    <w:rsid w:val="00CC6874"/>
    <w:rsid w:val="00CD22C4"/>
    <w:rsid w:val="00CD2AFA"/>
    <w:rsid w:val="00CF2BB9"/>
    <w:rsid w:val="00D104A7"/>
    <w:rsid w:val="00D15DBA"/>
    <w:rsid w:val="00D415CE"/>
    <w:rsid w:val="00D533D2"/>
    <w:rsid w:val="00D641CC"/>
    <w:rsid w:val="00D737B2"/>
    <w:rsid w:val="00D86262"/>
    <w:rsid w:val="00D8654B"/>
    <w:rsid w:val="00DA017B"/>
    <w:rsid w:val="00DC08C3"/>
    <w:rsid w:val="00DC5F2B"/>
    <w:rsid w:val="00DD099D"/>
    <w:rsid w:val="00DD27BF"/>
    <w:rsid w:val="00DD3CDA"/>
    <w:rsid w:val="00DE592A"/>
    <w:rsid w:val="00E16FE1"/>
    <w:rsid w:val="00E26B1D"/>
    <w:rsid w:val="00E37A7A"/>
    <w:rsid w:val="00E55BE5"/>
    <w:rsid w:val="00E84814"/>
    <w:rsid w:val="00E85D1F"/>
    <w:rsid w:val="00EE0B70"/>
    <w:rsid w:val="00EE1D33"/>
    <w:rsid w:val="00F53442"/>
    <w:rsid w:val="00F9467E"/>
    <w:rsid w:val="00FB3D68"/>
    <w:rsid w:val="01400C69"/>
    <w:rsid w:val="0156352C"/>
    <w:rsid w:val="023D3627"/>
    <w:rsid w:val="02C17BD4"/>
    <w:rsid w:val="02F634A5"/>
    <w:rsid w:val="03605133"/>
    <w:rsid w:val="03B16EFA"/>
    <w:rsid w:val="0459378E"/>
    <w:rsid w:val="05777856"/>
    <w:rsid w:val="063F0A13"/>
    <w:rsid w:val="07CA43E4"/>
    <w:rsid w:val="07D1224B"/>
    <w:rsid w:val="08B66F39"/>
    <w:rsid w:val="095742E5"/>
    <w:rsid w:val="095F548F"/>
    <w:rsid w:val="0B233E4B"/>
    <w:rsid w:val="0B9F01C5"/>
    <w:rsid w:val="0C056DDF"/>
    <w:rsid w:val="0D021748"/>
    <w:rsid w:val="0D930EE8"/>
    <w:rsid w:val="0DAA2F09"/>
    <w:rsid w:val="0E302448"/>
    <w:rsid w:val="0E48700C"/>
    <w:rsid w:val="0F680A5F"/>
    <w:rsid w:val="11414636"/>
    <w:rsid w:val="123D518D"/>
    <w:rsid w:val="127B2577"/>
    <w:rsid w:val="128041FD"/>
    <w:rsid w:val="12B632E1"/>
    <w:rsid w:val="12E02D85"/>
    <w:rsid w:val="12EB47F1"/>
    <w:rsid w:val="1385589C"/>
    <w:rsid w:val="14082DF4"/>
    <w:rsid w:val="151E2B0C"/>
    <w:rsid w:val="15F835A6"/>
    <w:rsid w:val="1952433A"/>
    <w:rsid w:val="19D13FFF"/>
    <w:rsid w:val="1C0C59AF"/>
    <w:rsid w:val="1CE03ADB"/>
    <w:rsid w:val="1D51771C"/>
    <w:rsid w:val="1D886B5D"/>
    <w:rsid w:val="1F3F164B"/>
    <w:rsid w:val="1F4F5502"/>
    <w:rsid w:val="1F5B58A5"/>
    <w:rsid w:val="1F627232"/>
    <w:rsid w:val="1F8C6F93"/>
    <w:rsid w:val="20295BDD"/>
    <w:rsid w:val="20623915"/>
    <w:rsid w:val="207A50E8"/>
    <w:rsid w:val="211A058B"/>
    <w:rsid w:val="211F0573"/>
    <w:rsid w:val="21C15436"/>
    <w:rsid w:val="22251365"/>
    <w:rsid w:val="23AA32D5"/>
    <w:rsid w:val="23CA146F"/>
    <w:rsid w:val="25D334FB"/>
    <w:rsid w:val="25DC4B92"/>
    <w:rsid w:val="26FD0D49"/>
    <w:rsid w:val="27395DE0"/>
    <w:rsid w:val="27B57D38"/>
    <w:rsid w:val="28A91EA2"/>
    <w:rsid w:val="296D3796"/>
    <w:rsid w:val="2A786841"/>
    <w:rsid w:val="2AA21F8F"/>
    <w:rsid w:val="2B08148B"/>
    <w:rsid w:val="2D396EAD"/>
    <w:rsid w:val="2D3B33EE"/>
    <w:rsid w:val="2D731278"/>
    <w:rsid w:val="2D8C1F00"/>
    <w:rsid w:val="2E0134AD"/>
    <w:rsid w:val="2E73037E"/>
    <w:rsid w:val="2F063926"/>
    <w:rsid w:val="2F0B779C"/>
    <w:rsid w:val="2F81180C"/>
    <w:rsid w:val="2FD11FCC"/>
    <w:rsid w:val="30671268"/>
    <w:rsid w:val="31937F81"/>
    <w:rsid w:val="31C93A88"/>
    <w:rsid w:val="33CC4CA2"/>
    <w:rsid w:val="341D62A5"/>
    <w:rsid w:val="35846BEA"/>
    <w:rsid w:val="35F805F4"/>
    <w:rsid w:val="36DE2645"/>
    <w:rsid w:val="36EA0114"/>
    <w:rsid w:val="37420806"/>
    <w:rsid w:val="37A157E6"/>
    <w:rsid w:val="37C345AD"/>
    <w:rsid w:val="38AF194E"/>
    <w:rsid w:val="394E5E00"/>
    <w:rsid w:val="3A566DA2"/>
    <w:rsid w:val="3AD242C0"/>
    <w:rsid w:val="3BAB62C6"/>
    <w:rsid w:val="3C510C7B"/>
    <w:rsid w:val="3C9915BE"/>
    <w:rsid w:val="3D3E49AF"/>
    <w:rsid w:val="3DCD381A"/>
    <w:rsid w:val="3F42597F"/>
    <w:rsid w:val="3FA622BA"/>
    <w:rsid w:val="3FCE03A6"/>
    <w:rsid w:val="3FDD5DD9"/>
    <w:rsid w:val="40A81755"/>
    <w:rsid w:val="42695D69"/>
    <w:rsid w:val="43AF403C"/>
    <w:rsid w:val="44116EF6"/>
    <w:rsid w:val="442C7AAA"/>
    <w:rsid w:val="46515B20"/>
    <w:rsid w:val="48730ED8"/>
    <w:rsid w:val="4A1F16DC"/>
    <w:rsid w:val="4D6F4F13"/>
    <w:rsid w:val="4DFA28F3"/>
    <w:rsid w:val="4F847B70"/>
    <w:rsid w:val="50BF2202"/>
    <w:rsid w:val="510D6B47"/>
    <w:rsid w:val="520C7FDC"/>
    <w:rsid w:val="5267447F"/>
    <w:rsid w:val="52CD0417"/>
    <w:rsid w:val="541C0DB8"/>
    <w:rsid w:val="549057B6"/>
    <w:rsid w:val="54EB0B2C"/>
    <w:rsid w:val="550D2661"/>
    <w:rsid w:val="55A3797B"/>
    <w:rsid w:val="57FB3A3A"/>
    <w:rsid w:val="588315C7"/>
    <w:rsid w:val="5A441D8B"/>
    <w:rsid w:val="5A652ED1"/>
    <w:rsid w:val="5B05572D"/>
    <w:rsid w:val="5B48042D"/>
    <w:rsid w:val="5B8D4072"/>
    <w:rsid w:val="5B9D6319"/>
    <w:rsid w:val="5C1462B1"/>
    <w:rsid w:val="5E960735"/>
    <w:rsid w:val="5F3F2740"/>
    <w:rsid w:val="5FE377F5"/>
    <w:rsid w:val="60BD4004"/>
    <w:rsid w:val="615D7134"/>
    <w:rsid w:val="62917095"/>
    <w:rsid w:val="62BC14D0"/>
    <w:rsid w:val="63F40370"/>
    <w:rsid w:val="658B1D37"/>
    <w:rsid w:val="65A417D5"/>
    <w:rsid w:val="65B82C46"/>
    <w:rsid w:val="66346B36"/>
    <w:rsid w:val="664E0FB5"/>
    <w:rsid w:val="668C4E54"/>
    <w:rsid w:val="66EE5C84"/>
    <w:rsid w:val="676E431C"/>
    <w:rsid w:val="69700539"/>
    <w:rsid w:val="699A52B8"/>
    <w:rsid w:val="6AB06526"/>
    <w:rsid w:val="6B014FD4"/>
    <w:rsid w:val="6B452ABD"/>
    <w:rsid w:val="6C3E01AA"/>
    <w:rsid w:val="6C4958FA"/>
    <w:rsid w:val="6D80255D"/>
    <w:rsid w:val="6E99612D"/>
    <w:rsid w:val="6F3F1566"/>
    <w:rsid w:val="6FA77FC0"/>
    <w:rsid w:val="70C311EF"/>
    <w:rsid w:val="717D2594"/>
    <w:rsid w:val="71B62A4F"/>
    <w:rsid w:val="726B0282"/>
    <w:rsid w:val="726B6897"/>
    <w:rsid w:val="74180ECA"/>
    <w:rsid w:val="75473710"/>
    <w:rsid w:val="75F04612"/>
    <w:rsid w:val="77AD2C99"/>
    <w:rsid w:val="77E2128F"/>
    <w:rsid w:val="7BA00C3C"/>
    <w:rsid w:val="7CC01A26"/>
    <w:rsid w:val="7E4707FF"/>
    <w:rsid w:val="7E623574"/>
    <w:rsid w:val="7F5632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semiHidden/>
    <w:unhideWhenUsed/>
    <w:qFormat/>
    <w:uiPriority w:val="99"/>
    <w:rPr>
      <w:sz w:val="18"/>
      <w:szCs w:val="18"/>
    </w:rPr>
  </w:style>
  <w:style w:type="paragraph" w:styleId="4">
    <w:name w:val="footer"/>
    <w:basedOn w:val="1"/>
    <w:link w:val="21"/>
    <w:unhideWhenUsed/>
    <w:qFormat/>
    <w:uiPriority w:val="99"/>
    <w:pPr>
      <w:tabs>
        <w:tab w:val="center" w:pos="4153"/>
        <w:tab w:val="right" w:pos="8306"/>
      </w:tabs>
      <w:snapToGrid w:val="0"/>
      <w:jc w:val="left"/>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8">
    <w:name w:val="Table Grid"/>
    <w:basedOn w:val="7"/>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semiHidden/>
    <w:unhideWhenUsed/>
    <w:qFormat/>
    <w:uiPriority w:val="99"/>
    <w:rPr>
      <w:color w:val="800080"/>
      <w:u w:val="none"/>
    </w:rPr>
  </w:style>
  <w:style w:type="character" w:styleId="12">
    <w:name w:val="Emphasis"/>
    <w:basedOn w:val="9"/>
    <w:qFormat/>
    <w:uiPriority w:val="0"/>
    <w:rPr>
      <w:i/>
    </w:rPr>
  </w:style>
  <w:style w:type="character" w:styleId="13">
    <w:name w:val="HTML Definition"/>
    <w:basedOn w:val="9"/>
    <w:semiHidden/>
    <w:unhideWhenUsed/>
    <w:qFormat/>
    <w:uiPriority w:val="99"/>
    <w:rPr>
      <w:i/>
    </w:rPr>
  </w:style>
  <w:style w:type="character" w:styleId="14">
    <w:name w:val="Hyperlink"/>
    <w:basedOn w:val="9"/>
    <w:qFormat/>
    <w:uiPriority w:val="0"/>
    <w:rPr>
      <w:color w:val="0000FF"/>
      <w:u w:val="single"/>
    </w:rPr>
  </w:style>
  <w:style w:type="character" w:styleId="15">
    <w:name w:val="HTML Code"/>
    <w:basedOn w:val="9"/>
    <w:semiHidden/>
    <w:unhideWhenUsed/>
    <w:qFormat/>
    <w:uiPriority w:val="99"/>
    <w:rPr>
      <w:rFonts w:ascii="Consolas" w:hAnsi="Consolas" w:eastAsia="Consolas" w:cs="Consolas"/>
      <w:color w:val="C7254E"/>
      <w:sz w:val="21"/>
      <w:szCs w:val="21"/>
      <w:shd w:val="clear" w:fill="F9F2F4"/>
    </w:rPr>
  </w:style>
  <w:style w:type="character" w:styleId="16">
    <w:name w:val="HTML Keyboard"/>
    <w:basedOn w:val="9"/>
    <w:semiHidden/>
    <w:unhideWhenUsed/>
    <w:qFormat/>
    <w:uiPriority w:val="99"/>
    <w:rPr>
      <w:rFonts w:hint="default" w:ascii="Consolas" w:hAnsi="Consolas" w:eastAsia="Consolas" w:cs="Consolas"/>
      <w:color w:val="FFFFFF"/>
      <w:sz w:val="21"/>
      <w:szCs w:val="21"/>
      <w:shd w:val="clear" w:fill="333333"/>
    </w:rPr>
  </w:style>
  <w:style w:type="character" w:styleId="17">
    <w:name w:val="HTML Sample"/>
    <w:basedOn w:val="9"/>
    <w:semiHidden/>
    <w:unhideWhenUsed/>
    <w:qFormat/>
    <w:uiPriority w:val="99"/>
    <w:rPr>
      <w:rFonts w:hint="default" w:ascii="Consolas" w:hAnsi="Consolas" w:eastAsia="Consolas" w:cs="Consolas"/>
      <w:sz w:val="21"/>
      <w:szCs w:val="21"/>
    </w:rPr>
  </w:style>
  <w:style w:type="character" w:customStyle="1" w:styleId="18">
    <w:name w:val="标题 1 Char"/>
    <w:basedOn w:val="9"/>
    <w:link w:val="2"/>
    <w:qFormat/>
    <w:uiPriority w:val="9"/>
    <w:rPr>
      <w:rFonts w:ascii="Times New Roman" w:hAnsi="Times New Roman" w:cs="Times New Roman"/>
      <w:b/>
      <w:bCs/>
      <w:kern w:val="36"/>
      <w:sz w:val="48"/>
      <w:szCs w:val="48"/>
    </w:rPr>
  </w:style>
  <w:style w:type="paragraph" w:customStyle="1" w:styleId="19">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20">
    <w:name w:val="页眉 Char"/>
    <w:basedOn w:val="9"/>
    <w:link w:val="5"/>
    <w:qFormat/>
    <w:uiPriority w:val="99"/>
    <w:rPr>
      <w:sz w:val="18"/>
      <w:szCs w:val="18"/>
    </w:rPr>
  </w:style>
  <w:style w:type="character" w:customStyle="1" w:styleId="21">
    <w:name w:val="页脚 Char"/>
    <w:basedOn w:val="9"/>
    <w:link w:val="4"/>
    <w:qFormat/>
    <w:uiPriority w:val="99"/>
    <w:rPr>
      <w:sz w:val="18"/>
      <w:szCs w:val="18"/>
    </w:rPr>
  </w:style>
  <w:style w:type="character" w:customStyle="1" w:styleId="22">
    <w:name w:val="批注框文本 Char"/>
    <w:basedOn w:val="9"/>
    <w:link w:val="3"/>
    <w:semiHidden/>
    <w:qFormat/>
    <w:uiPriority w:val="99"/>
    <w:rPr>
      <w:kern w:val="2"/>
      <w:sz w:val="18"/>
      <w:szCs w:val="18"/>
    </w:rPr>
  </w:style>
  <w:style w:type="paragraph" w:customStyle="1" w:styleId="23">
    <w:name w:val="p0"/>
    <w:basedOn w:val="1"/>
    <w:qFormat/>
    <w:uiPriority w:val="0"/>
    <w:pPr>
      <w:widowControl/>
    </w:pPr>
    <w:rPr>
      <w:kern w:val="0"/>
      <w:szCs w:val="21"/>
    </w:rPr>
  </w:style>
  <w:style w:type="character" w:customStyle="1" w:styleId="24">
    <w:name w:val="nth-child(1)"/>
    <w:basedOn w:val="9"/>
    <w:qFormat/>
    <w:uiPriority w:val="0"/>
  </w:style>
  <w:style w:type="character" w:customStyle="1" w:styleId="25">
    <w:name w:val="nth-child(1)1"/>
    <w:basedOn w:val="9"/>
    <w:qFormat/>
    <w:uiPriority w:val="0"/>
    <w:rPr>
      <w:bdr w:val="single" w:color="auto" w:sz="12" w:space="0"/>
    </w:rPr>
  </w:style>
  <w:style w:type="character" w:customStyle="1" w:styleId="26">
    <w:name w:val="last-child1"/>
    <w:basedOn w:val="9"/>
    <w:qFormat/>
    <w:uiPriority w:val="0"/>
    <w:rPr>
      <w:color w:val="FB334B"/>
    </w:rPr>
  </w:style>
  <w:style w:type="character" w:customStyle="1" w:styleId="27">
    <w:name w:val="nth-child(3)"/>
    <w:basedOn w:val="9"/>
    <w:qFormat/>
    <w:uiPriority w:val="0"/>
  </w:style>
  <w:style w:type="character" w:customStyle="1" w:styleId="28">
    <w:name w:val="first-child"/>
    <w:basedOn w:val="9"/>
    <w:qFormat/>
    <w:uiPriority w:val="0"/>
    <w:rPr>
      <w:color w:val="999999"/>
    </w:rPr>
  </w:style>
  <w:style w:type="paragraph" w:styleId="29">
    <w:name w:val="List Paragraph"/>
    <w:basedOn w:val="1"/>
    <w:qFormat/>
    <w:uiPriority w:val="99"/>
    <w:pPr>
      <w:ind w:firstLine="420" w:firstLineChars="200"/>
    </w:pPr>
  </w:style>
  <w:style w:type="character" w:customStyle="1" w:styleId="30">
    <w:name w:val="font21"/>
    <w:basedOn w:val="9"/>
    <w:qFormat/>
    <w:uiPriority w:val="0"/>
    <w:rPr>
      <w:rFonts w:hint="eastAsia" w:ascii="宋体" w:hAnsi="宋体" w:eastAsia="宋体" w:cs="宋体"/>
      <w:color w:val="000000"/>
      <w:sz w:val="20"/>
      <w:szCs w:val="20"/>
      <w:u w:val="none"/>
    </w:rPr>
  </w:style>
  <w:style w:type="character" w:customStyle="1" w:styleId="31">
    <w:name w:val="font01"/>
    <w:basedOn w:val="9"/>
    <w:qFormat/>
    <w:uiPriority w:val="0"/>
    <w:rPr>
      <w:rFonts w:ascii="Arial" w:hAnsi="Arial" w:cs="Arial"/>
      <w:color w:val="000000"/>
      <w:sz w:val="20"/>
      <w:szCs w:val="20"/>
      <w:u w:val="none"/>
    </w:rPr>
  </w:style>
  <w:style w:type="character" w:customStyle="1" w:styleId="32">
    <w:name w:val="font31"/>
    <w:basedOn w:val="9"/>
    <w:qFormat/>
    <w:uiPriority w:val="0"/>
    <w:rPr>
      <w:rFonts w:hint="default" w:ascii="Times New Roman" w:hAnsi="Times New Roman" w:cs="Times New Roman"/>
      <w:color w:val="000000"/>
      <w:sz w:val="20"/>
      <w:szCs w:val="20"/>
      <w:u w:val="none"/>
    </w:rPr>
  </w:style>
  <w:style w:type="character" w:customStyle="1" w:styleId="33">
    <w:name w:val="font41"/>
    <w:basedOn w:val="9"/>
    <w:qFormat/>
    <w:uiPriority w:val="0"/>
    <w:rPr>
      <w:rFonts w:hint="eastAsia" w:ascii="宋体" w:hAnsi="宋体" w:eastAsia="宋体" w:cs="宋体"/>
      <w:color w:val="000000"/>
      <w:sz w:val="20"/>
      <w:szCs w:val="20"/>
      <w:u w:val="none"/>
    </w:rPr>
  </w:style>
  <w:style w:type="character" w:customStyle="1" w:styleId="34">
    <w:name w:val="font51"/>
    <w:basedOn w:val="9"/>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42</Pages>
  <Words>13812</Words>
  <Characters>22207</Characters>
  <Lines>34</Lines>
  <Paragraphs>9</Paragraphs>
  <TotalTime>1</TotalTime>
  <ScaleCrop>false</ScaleCrop>
  <LinksUpToDate>false</LinksUpToDate>
  <CharactersWithSpaces>23390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2020-01-15T09:05:00Z</dcterms:created>
  <dc:creator>hao tong</dc:creator>
  <cp:lastModifiedBy>郑雯</cp:lastModifiedBy>
  <cp:lastPrinted>2023-06-19T02:34:00Z</cp:lastPrinted>
  <dcterms:modified xsi:type="dcterms:W3CDTF">2023-06-26T02:01:34Z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81AA0C08DD044F1CADCCE6CB2FB86396_13</vt:lpwstr>
  </property>
</Properties>
</file>